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454" w:rsidRDefault="003F4454" w:rsidP="003F4454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3F4454" w:rsidRDefault="003F4454" w:rsidP="003F4454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3F4454" w:rsidRPr="003F4454" w:rsidRDefault="003F4454" w:rsidP="003F4454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bookmarkStart w:id="0" w:name="_GoBack"/>
      <w:bookmarkEnd w:id="0"/>
      <w:r w:rsidRPr="003F4454">
        <w:rPr>
          <w:rFonts w:ascii="Times New Roman" w:hAnsi="Times New Roman" w:cs="Times New Roman"/>
          <w:sz w:val="28"/>
          <w:szCs w:val="28"/>
        </w:rPr>
        <w:t>ПРИЛОЖЕНИЕ</w:t>
      </w:r>
    </w:p>
    <w:p w:rsidR="003F4454" w:rsidRPr="003F4454" w:rsidRDefault="003F4454" w:rsidP="003F4454">
      <w:pPr>
        <w:pStyle w:val="a4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>УТВЕРЖДЕНА</w:t>
      </w:r>
    </w:p>
    <w:p w:rsidR="003F4454" w:rsidRPr="003F4454" w:rsidRDefault="003F4454" w:rsidP="003F4454">
      <w:pPr>
        <w:pStyle w:val="a4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F4454" w:rsidRPr="003F4454" w:rsidRDefault="003F4454" w:rsidP="003F4454">
      <w:pPr>
        <w:pStyle w:val="a4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454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 xml:space="preserve">от </w:t>
      </w:r>
      <w:r w:rsidRPr="003F4454">
        <w:rPr>
          <w:rFonts w:ascii="Times New Roman" w:hAnsi="Times New Roman" w:cs="Times New Roman"/>
          <w:i/>
          <w:sz w:val="28"/>
          <w:szCs w:val="28"/>
          <w:u w:val="single"/>
        </w:rPr>
        <w:t>01.11.201</w:t>
      </w:r>
      <w:r w:rsidR="00DD25E0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  <w:r w:rsidRPr="003F4454">
        <w:rPr>
          <w:rFonts w:ascii="Times New Roman" w:hAnsi="Times New Roman" w:cs="Times New Roman"/>
          <w:sz w:val="28"/>
          <w:szCs w:val="28"/>
        </w:rPr>
        <w:t xml:space="preserve"> № </w:t>
      </w:r>
      <w:r w:rsidRPr="003F4454">
        <w:rPr>
          <w:rFonts w:ascii="Times New Roman" w:hAnsi="Times New Roman" w:cs="Times New Roman"/>
          <w:i/>
          <w:sz w:val="28"/>
          <w:szCs w:val="28"/>
          <w:u w:val="single"/>
        </w:rPr>
        <w:t>22</w:t>
      </w:r>
      <w:r w:rsidR="00DD25E0">
        <w:rPr>
          <w:rFonts w:ascii="Times New Roman" w:hAnsi="Times New Roman" w:cs="Times New Roman"/>
          <w:i/>
          <w:sz w:val="28"/>
          <w:szCs w:val="28"/>
          <w:u w:val="single"/>
        </w:rPr>
        <w:t>0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«Развитие культуры Запорожского сельского поселения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Темрюкского района на 20</w:t>
      </w:r>
      <w:r w:rsidR="00DD25E0">
        <w:rPr>
          <w:rFonts w:ascii="Times New Roman" w:hAnsi="Times New Roman" w:cs="Times New Roman"/>
          <w:b/>
          <w:sz w:val="28"/>
          <w:szCs w:val="28"/>
        </w:rPr>
        <w:t>20</w:t>
      </w:r>
      <w:r w:rsidRPr="003F4454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3F4454" w:rsidRPr="003F4454" w:rsidRDefault="003F4454" w:rsidP="003F445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Структура программы: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4454">
        <w:rPr>
          <w:rFonts w:ascii="Times New Roman" w:hAnsi="Times New Roman" w:cs="Times New Roman"/>
          <w:sz w:val="28"/>
          <w:szCs w:val="28"/>
        </w:rPr>
        <w:t xml:space="preserve">.Паспорт программы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F4454">
        <w:rPr>
          <w:rFonts w:ascii="Times New Roman" w:hAnsi="Times New Roman" w:cs="Times New Roman"/>
          <w:sz w:val="28"/>
          <w:szCs w:val="28"/>
        </w:rPr>
        <w:t xml:space="preserve">.Содержание программы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1. Характеристика текущего состояния и прогноз развития сферы деятельности МБУК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ЦКС».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3. Перечень мероприятий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4. Обоснование ресурсного обеспечения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5. Механизм реализации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3F445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3F4454" w:rsidRPr="003F4454" w:rsidRDefault="003F4454" w:rsidP="003F445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культуры в Запорожского сельском поселении Темрюкского района на 20</w:t>
      </w:r>
      <w:r w:rsidR="00DD25E0">
        <w:rPr>
          <w:rFonts w:ascii="Times New Roman" w:hAnsi="Times New Roman" w:cs="Times New Roman"/>
          <w:b/>
          <w:sz w:val="28"/>
          <w:szCs w:val="28"/>
        </w:rPr>
        <w:t>20</w:t>
      </w:r>
      <w:r w:rsidRPr="003F4454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3F4454" w:rsidRPr="003F4454" w:rsidRDefault="003F4454" w:rsidP="003F445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2" w:type="dxa"/>
        <w:tblLayout w:type="fixed"/>
        <w:tblLook w:val="04A0"/>
      </w:tblPr>
      <w:tblGrid>
        <w:gridCol w:w="4620"/>
        <w:gridCol w:w="5095"/>
      </w:tblGrid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   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DD25E0">
            <w:pPr>
              <w:pStyle w:val="a4"/>
              <w:ind w:firstLine="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</w:t>
            </w:r>
            <w:r w:rsidRPr="00EF20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культуры 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сельского поселения </w:t>
            </w:r>
            <w:r w:rsidRPr="00EF207A">
              <w:rPr>
                <w:rFonts w:ascii="Times New Roman" w:hAnsi="Times New Roman" w:cs="Times New Roman"/>
                <w:bCs/>
                <w:sz w:val="24"/>
                <w:szCs w:val="24"/>
              </w:rPr>
              <w:t>Темрюкского района на 20</w:t>
            </w:r>
            <w:r w:rsidR="00DD25E0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EF20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год» (далее - Программа)</w:t>
            </w:r>
            <w:r w:rsidRPr="00EF2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Заказчик и координатор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Ильичевская</w:t>
            </w:r>
            <w:proofErr w:type="spellEnd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ЦКС» </w:t>
            </w:r>
            <w:r w:rsidRPr="00EF20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Запорожского  сельского поселения 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и доступности муниципальных услуг сферы культуры для всех категорий потребителей;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свободного и оперативного доступа к информационным ресурсам и знаниям учреждения;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сохранение и развитие художественно-эстетического образования и кадрового потенциала;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комплектование и обеспечение сохранности  библиотечных фондов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DD25E0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5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DD25E0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Программы составляет </w:t>
            </w:r>
            <w:r w:rsidR="00DD25E0">
              <w:rPr>
                <w:rFonts w:ascii="Times New Roman" w:hAnsi="Times New Roman" w:cs="Times New Roman"/>
                <w:sz w:val="24"/>
                <w:szCs w:val="24"/>
              </w:rPr>
              <w:t>11588,4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Запорожского сельского поселения Темрюкского района; 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Совет Запорожского сельского поселения Темрюкского района</w:t>
            </w:r>
          </w:p>
        </w:tc>
      </w:tr>
    </w:tbl>
    <w:p w:rsidR="003F4454" w:rsidRPr="003F4454" w:rsidRDefault="003F4454" w:rsidP="003F445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</w:t>
      </w:r>
    </w:p>
    <w:p w:rsidR="003F4454" w:rsidRPr="003F4454" w:rsidRDefault="003F4454" w:rsidP="003F445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Pr="003F4454">
        <w:rPr>
          <w:rFonts w:ascii="Times New Roman" w:hAnsi="Times New Roman" w:cs="Times New Roman"/>
          <w:b/>
          <w:sz w:val="28"/>
          <w:szCs w:val="28"/>
        </w:rPr>
        <w:t xml:space="preserve"> сферы культуры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Проводимая в модернизация всех сфер деятельности ставит задачи по совершенствованию стратегической политики в сфере культуры, направленной на повышение качества обслуживания населения и расширение ассортимента предоставляемых социально-культурных услуг.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По мере ежегодного увеличения объема услуг культуры, потребляемых населением, все большее значение приобретает качество предоставляемых муниципальных услуг.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Решение проблем развития культуры станицы в условиях новых экономических отношений и административной реформы направлено на сохранение и развитие культурного потенциала Запорожского сельского поселения Темрюкского района, создание условий для полноценного доступа населения к услугам сферы культуры.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Организацией культурно-досуговой деятельности в поселении занимается Муниципальное бюджетное учреждение культуры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Запорожского сельского поселения Темрюкского района.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В поселении ежегодно проводятся конкурсы в сфере культуры и искусства, сложились традиции проведения станичных трудовых, профессиональных, общественных, литературных праздников, фестивалей народного искусства, поднимающих духовно-нравственный климат в общественной жизни станицы.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За прошедшие годы в отрасли прослеживается положительная динамика в кадровой политике, которая заключается в стабильно высоком образовательном цензе специалистов - 80% имеют высшее или среднее специальное образование.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Вместе с тем в деятельности учреждения культуры и искусства существует ряд проблем, негативно влияющих на качество услуг и снижающих темпы их дальнейшего развития.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Для библиотеки в настоящее время самой острой проблемой остается сохранение и пополнение библиотечных фондов книгами и периодическими изданиями. Фонды библиотеки приходят в негодность, количество списанных книг превышает количество поступающих.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lastRenderedPageBreak/>
        <w:t>Внедрение современных информационных технологий в библиотечную деятельность будет способствовать созданию на базе существующих Интернет-сайтов муниципальных библиотек виртуальных библиотек, которые позволят повысить оперативность и качество информационного обслуживания населения, в том числе по предоставлению муниципальных услуг в электронном виде.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Острой проблемой остается низкий по сравнению с внебюджетным сектором экономики края уровень средней заработной платы работников культуры и искусства.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8" w:history="1">
        <w:r w:rsidRPr="003F445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постановления</w:t>
        </w:r>
      </w:hyperlink>
      <w:r w:rsidRPr="003F4454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25 февраля 2013 года № 158 «Об утверждении плана мероприятий ("дорожной карты") «Изменения в отраслях социальной сферы Краснодарского края, направленные на повышение эффективности сферы культуры», были предусмотрены мероприятия по доведению размеров заработной платы работников учреждения культуры до уровня средней по Краснодарскому краю, сохранению и развитию кадрового потенциала учреждения культуры, повышению престижности и привлекательности профессий в сфере культуры.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Решение существующих проблем в деятельности учреждения культуры и искусства, достижение поставленных целей и решение тактических задач должно идти с использованием программно-целевого метода, что обеспечит больший уровень эффективности использования бюджетных ресурсов и лучшую связь их объемов с достижением планируемых результатов.</w:t>
      </w:r>
    </w:p>
    <w:p w:rsidR="003F4454" w:rsidRPr="003F4454" w:rsidRDefault="003F4454" w:rsidP="00EF207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3F4454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программы</w:t>
      </w:r>
    </w:p>
    <w:p w:rsidR="003F4454" w:rsidRPr="003F4454" w:rsidRDefault="003F4454" w:rsidP="00EF20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Цель программы - повышение качества и доступности муниципальных услуг сферы культуры для всех категорий потребителей. Для достижения цели программы необходимо решить следующие задачи: создание условий для свободного и оперативного доступа к информационным ресурсам и знаниям МБУК «Запорожская ЦКС»;     </w:t>
      </w: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сохранение и развитие художественно-эстетического образования и кадрового потенциала в МБУК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ЦКС»;</w:t>
      </w: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фондов.</w:t>
      </w:r>
    </w:p>
    <w:p w:rsid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 Сроки реализации программы: 20</w:t>
      </w:r>
      <w:r w:rsidR="00DD25E0">
        <w:rPr>
          <w:rFonts w:ascii="Times New Roman" w:hAnsi="Times New Roman" w:cs="Times New Roman"/>
          <w:sz w:val="28"/>
          <w:szCs w:val="28"/>
        </w:rPr>
        <w:t>20</w:t>
      </w:r>
      <w:r w:rsidRPr="003F4454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F551B" w:rsidRPr="003F4454" w:rsidRDefault="00FF551B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FF551B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Перечень мероприятий 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Система программных мероприятий направлена на предоставление субсидий МБУК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ЦКС» для выполнения муниципального задания.   </w:t>
      </w:r>
    </w:p>
    <w:p w:rsidR="00EF207A" w:rsidRDefault="00EF207A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F207A" w:rsidRDefault="00EF207A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F207A" w:rsidRDefault="00EF207A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F551B" w:rsidRPr="003F4454" w:rsidRDefault="00FF551B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FF551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454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Обоснование ресурсного обеспечения 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Анализ исполнения мероприятий показывает, что в среднем за год проводится до </w:t>
      </w:r>
      <w:r w:rsidR="00DD25E0">
        <w:rPr>
          <w:rFonts w:ascii="Times New Roman" w:hAnsi="Times New Roman" w:cs="Times New Roman"/>
          <w:sz w:val="28"/>
          <w:szCs w:val="28"/>
        </w:rPr>
        <w:t>6</w:t>
      </w:r>
      <w:r w:rsidRPr="003F4454">
        <w:rPr>
          <w:rFonts w:ascii="Times New Roman" w:hAnsi="Times New Roman" w:cs="Times New Roman"/>
          <w:sz w:val="28"/>
          <w:szCs w:val="28"/>
        </w:rPr>
        <w:t>00 мероприятий. Объем финансовых средств, выделяемых из средств местного бюджета на реализацию программы, составляет  </w:t>
      </w:r>
      <w:r w:rsidR="00DD25E0">
        <w:rPr>
          <w:rFonts w:ascii="Times New Roman" w:hAnsi="Times New Roman" w:cs="Times New Roman"/>
          <w:sz w:val="28"/>
          <w:szCs w:val="28"/>
        </w:rPr>
        <w:t>11588,4</w:t>
      </w:r>
      <w:r w:rsidRPr="003F4454">
        <w:rPr>
          <w:rFonts w:ascii="Times New Roman" w:hAnsi="Times New Roman" w:cs="Times New Roman"/>
          <w:sz w:val="28"/>
          <w:szCs w:val="28"/>
        </w:rPr>
        <w:t xml:space="preserve"> тыс. рублей, в том числе: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101" w:type="dxa"/>
        <w:tblLayout w:type="fixed"/>
        <w:tblLook w:val="04A0"/>
      </w:tblPr>
      <w:tblGrid>
        <w:gridCol w:w="4684"/>
        <w:gridCol w:w="2268"/>
        <w:gridCol w:w="2693"/>
      </w:tblGrid>
      <w:tr w:rsidR="003F4454" w:rsidRPr="003F4454" w:rsidTr="003F4454">
        <w:trPr>
          <w:trHeight w:val="1132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F4454" w:rsidRPr="00FF551B" w:rsidRDefault="003F4454" w:rsidP="00FF551B">
            <w:pPr>
              <w:pStyle w:val="a4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F4454" w:rsidRPr="00FF551B" w:rsidRDefault="003F4454" w:rsidP="00DD25E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 программы, тыс. рублей в 20</w:t>
            </w:r>
            <w:r w:rsidR="00DD25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F551B" w:rsidRPr="00FF551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Заработная плата с начислением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DD25E0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9005,5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560,7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DD25E0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4454" w:rsidRPr="00FF55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DD25E0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DD25E0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4454" w:rsidRPr="00FF551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DD25E0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3F4454" w:rsidRPr="00FF551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DD25E0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DD25E0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E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454" w:rsidRPr="00DD25E0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DD25E0" w:rsidRDefault="00DD25E0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E0">
              <w:rPr>
                <w:rFonts w:ascii="Times New Roman" w:hAnsi="Times New Roman" w:cs="Times New Roman"/>
                <w:b/>
                <w:sz w:val="24"/>
                <w:szCs w:val="24"/>
              </w:rPr>
              <w:t>11588,4</w:t>
            </w:r>
          </w:p>
        </w:tc>
      </w:tr>
    </w:tbl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51B" w:rsidRPr="00FF551B" w:rsidRDefault="00FF551B" w:rsidP="00FF551B">
      <w:pPr>
        <w:pStyle w:val="ad"/>
        <w:numPr>
          <w:ilvl w:val="0"/>
          <w:numId w:val="5"/>
        </w:numPr>
        <w:ind w:firstLine="0"/>
        <w:rPr>
          <w:b/>
          <w:bCs/>
          <w:color w:val="000000"/>
          <w:sz w:val="28"/>
          <w:szCs w:val="26"/>
        </w:rPr>
      </w:pPr>
      <w:r w:rsidRPr="00FF551B">
        <w:rPr>
          <w:b/>
          <w:bCs/>
          <w:color w:val="000000"/>
          <w:sz w:val="28"/>
          <w:szCs w:val="26"/>
        </w:rPr>
        <w:t>Методика оценки эффективности реализации</w:t>
      </w:r>
    </w:p>
    <w:p w:rsidR="00FF551B" w:rsidRDefault="00FF551B" w:rsidP="00FF551B">
      <w:pPr>
        <w:jc w:val="center"/>
        <w:rPr>
          <w:b/>
          <w:bCs/>
          <w:color w:val="000000"/>
          <w:sz w:val="28"/>
          <w:szCs w:val="26"/>
        </w:rPr>
      </w:pPr>
      <w:r w:rsidRPr="007A4B88">
        <w:rPr>
          <w:b/>
          <w:bCs/>
          <w:color w:val="000000"/>
          <w:sz w:val="28"/>
          <w:szCs w:val="26"/>
        </w:rPr>
        <w:t>муниципальной программы</w:t>
      </w:r>
    </w:p>
    <w:p w:rsidR="00FF551B" w:rsidRPr="007A4B88" w:rsidRDefault="00FF551B" w:rsidP="00FF551B">
      <w:pPr>
        <w:ind w:firstLine="851"/>
        <w:jc w:val="center"/>
        <w:rPr>
          <w:b/>
          <w:bCs/>
          <w:color w:val="000000"/>
          <w:sz w:val="28"/>
          <w:szCs w:val="26"/>
        </w:rPr>
      </w:pPr>
    </w:p>
    <w:p w:rsidR="00FF551B" w:rsidRPr="007A4B88" w:rsidRDefault="00FF551B" w:rsidP="00FF551B">
      <w:pPr>
        <w:ind w:firstLine="851"/>
        <w:jc w:val="both"/>
        <w:rPr>
          <w:b/>
          <w:bCs/>
          <w:color w:val="000000"/>
          <w:sz w:val="28"/>
          <w:szCs w:val="26"/>
        </w:rPr>
      </w:pPr>
    </w:p>
    <w:p w:rsidR="00FF551B" w:rsidRPr="009E7009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9E7009">
        <w:rPr>
          <w:rFonts w:ascii="Times New Roman" w:hAnsi="Times New Roman"/>
          <w:b w:val="0"/>
          <w:sz w:val="28"/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/ М,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bookmarkStart w:id="1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bookmarkStart w:id="2" w:name="sub_10221"/>
      <w:bookmarkEnd w:id="1"/>
      <w:r w:rsidRPr="005871F8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2"/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Выполнение данного условия подразумевает, что в случае, если степень достижения показателя результата составляет менее 100%, </w:t>
      </w:r>
      <w:r w:rsidRPr="005871F8">
        <w:rPr>
          <w:sz w:val="28"/>
          <w:szCs w:val="28"/>
        </w:rPr>
        <w:lastRenderedPageBreak/>
        <w:t>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средств местного бюджета;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финансируемых из средств местного бюджета;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bookmarkStart w:id="3" w:name="sub_105"/>
      <w:r w:rsidRPr="005871F8">
        <w:rPr>
          <w:rFonts w:ascii="Times New Roman" w:hAnsi="Times New Roman"/>
          <w:b w:val="0"/>
          <w:sz w:val="28"/>
          <w:szCs w:val="28"/>
        </w:rPr>
        <w:t>5.4. Оценка степени достижения целей и решения задач подпрограммы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(</w:t>
      </w:r>
      <w:r w:rsidRPr="005871F8">
        <w:rPr>
          <w:rFonts w:ascii="Times New Roman" w:hAnsi="Times New Roman"/>
          <w:b w:val="0"/>
          <w:sz w:val="28"/>
          <w:szCs w:val="28"/>
        </w:rPr>
        <w:t>основного мероприятия)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5.4.2. Степень достижения планового значения целевого показателя рассчитывается по следующим формулам: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857375" cy="6762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</w:t>
      </w:r>
      <w:proofErr w:type="spell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&gt;1, значение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принимается равным 1.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 xml:space="preserve">5.5. Оценка эффективности реализации подпрограммы 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(основного мероприятия)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</w:t>
      </w:r>
      <w:proofErr w:type="spellEnd"/>
      <w:r w:rsidRPr="005871F8">
        <w:rPr>
          <w:sz w:val="28"/>
          <w:szCs w:val="28"/>
        </w:rPr>
        <w:t xml:space="preserve"> * </w:t>
      </w: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</w:t>
      </w:r>
      <w:proofErr w:type="spell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</w:t>
      </w:r>
      <w:proofErr w:type="spell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</w:t>
      </w:r>
      <w:proofErr w:type="spellEnd"/>
      <w:r w:rsidRPr="005871F8">
        <w:rPr>
          <w:sz w:val="28"/>
          <w:szCs w:val="28"/>
        </w:rPr>
        <w:t xml:space="preserve"> составляет не менее 0,9.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</w:t>
      </w:r>
      <w:proofErr w:type="spellEnd"/>
      <w:r w:rsidRPr="005871F8">
        <w:rPr>
          <w:sz w:val="28"/>
          <w:szCs w:val="28"/>
        </w:rPr>
        <w:t xml:space="preserve"> составляет не менее 0,8.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</w:t>
      </w:r>
      <w:proofErr w:type="spellEnd"/>
      <w:r w:rsidRPr="005871F8">
        <w:rPr>
          <w:sz w:val="28"/>
          <w:szCs w:val="28"/>
        </w:rPr>
        <w:t xml:space="preserve"> составляет не менее 0,7.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lastRenderedPageBreak/>
        <w:t>5.6. Оценка степени достижения целей и решения задач муниципальной программы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ЗПгпп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7640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&gt;1, значение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принимается равным 1.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5.7. Оценка эффективности реализации муниципальной программы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5.7.1.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051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- эффективность реализации муниципальная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</w:t>
      </w:r>
      <w:proofErr w:type="spell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- определяется по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Фj</w:t>
      </w:r>
      <w:proofErr w:type="spellEnd"/>
      <w:r w:rsidRPr="005871F8">
        <w:rPr>
          <w:sz w:val="28"/>
          <w:szCs w:val="28"/>
        </w:rPr>
        <w:t xml:space="preserve"> / Ф,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Фj</w:t>
      </w:r>
      <w:proofErr w:type="spellEnd"/>
      <w:r w:rsidRPr="005871F8">
        <w:rPr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j - количество подпрограмм (основных мероприятий).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5.7.2. Эффективность реализации муниципальной программы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0,90.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>, составляет не менее 0,80.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0,70.</w:t>
      </w:r>
    </w:p>
    <w:p w:rsidR="00FF551B" w:rsidRPr="00554C7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  <w:bookmarkEnd w:id="3"/>
    </w:p>
    <w:p w:rsidR="00FF551B" w:rsidRDefault="00FF551B" w:rsidP="00FF551B">
      <w:pPr>
        <w:pStyle w:val="a9"/>
        <w:suppressAutoHyphens/>
        <w:spacing w:after="0" w:line="276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>Эффективность реализации Программы определяется степенью достижения показателей Программы.</w:t>
      </w:r>
    </w:p>
    <w:p w:rsidR="00FF551B" w:rsidRDefault="00FF551B" w:rsidP="00FF551B">
      <w:pPr>
        <w:ind w:firstLine="851"/>
        <w:jc w:val="both"/>
        <w:rPr>
          <w:b/>
          <w:bCs/>
          <w:color w:val="000000"/>
          <w:sz w:val="28"/>
          <w:szCs w:val="26"/>
        </w:rPr>
      </w:pPr>
    </w:p>
    <w:p w:rsidR="00FF551B" w:rsidRPr="002A1B41" w:rsidRDefault="00FF551B" w:rsidP="00FF551B">
      <w:pPr>
        <w:ind w:firstLine="851"/>
        <w:jc w:val="both"/>
        <w:rPr>
          <w:b/>
          <w:bCs/>
          <w:color w:val="000000"/>
          <w:sz w:val="28"/>
          <w:szCs w:val="26"/>
        </w:rPr>
      </w:pPr>
    </w:p>
    <w:p w:rsidR="00FF551B" w:rsidRPr="007A4B88" w:rsidRDefault="00FF551B" w:rsidP="00FF551B">
      <w:pPr>
        <w:jc w:val="center"/>
        <w:rPr>
          <w:b/>
          <w:bCs/>
          <w:color w:val="000000"/>
          <w:sz w:val="28"/>
          <w:szCs w:val="26"/>
        </w:rPr>
      </w:pPr>
      <w:r>
        <w:rPr>
          <w:b/>
          <w:bCs/>
          <w:color w:val="000000"/>
          <w:sz w:val="28"/>
          <w:szCs w:val="26"/>
        </w:rPr>
        <w:t xml:space="preserve">  6. </w:t>
      </w:r>
      <w:r w:rsidRPr="007A4B88">
        <w:rPr>
          <w:b/>
          <w:bCs/>
          <w:color w:val="000000"/>
          <w:sz w:val="28"/>
          <w:szCs w:val="26"/>
        </w:rPr>
        <w:t>Механизм реализации муниципальной программы</w:t>
      </w:r>
    </w:p>
    <w:p w:rsidR="00FF551B" w:rsidRDefault="00FF551B" w:rsidP="00FF551B">
      <w:pPr>
        <w:jc w:val="center"/>
        <w:rPr>
          <w:b/>
          <w:bCs/>
          <w:color w:val="000000"/>
          <w:sz w:val="28"/>
          <w:szCs w:val="26"/>
        </w:rPr>
      </w:pPr>
      <w:r w:rsidRPr="007A4B88">
        <w:rPr>
          <w:b/>
          <w:bCs/>
          <w:color w:val="000000"/>
          <w:sz w:val="28"/>
          <w:szCs w:val="26"/>
        </w:rPr>
        <w:t>и контроль за ее выполнением</w:t>
      </w:r>
    </w:p>
    <w:p w:rsidR="00FF551B" w:rsidRDefault="00FF551B" w:rsidP="00FF551B">
      <w:pPr>
        <w:ind w:firstLine="851"/>
        <w:jc w:val="center"/>
        <w:rPr>
          <w:color w:val="000000"/>
          <w:sz w:val="28"/>
          <w:szCs w:val="26"/>
        </w:rPr>
      </w:pPr>
    </w:p>
    <w:p w:rsidR="00FF551B" w:rsidRPr="003E20FF" w:rsidRDefault="00FF551B" w:rsidP="00FF551B">
      <w:pPr>
        <w:ind w:firstLine="851"/>
        <w:jc w:val="center"/>
        <w:rPr>
          <w:color w:val="000000"/>
          <w:sz w:val="28"/>
          <w:szCs w:val="26"/>
        </w:rPr>
      </w:pP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Общее руководство, координацию </w:t>
      </w:r>
      <w:bookmarkStart w:id="4" w:name="YANDEX_98"/>
      <w:bookmarkEnd w:id="4"/>
      <w:r w:rsidRPr="002A1B41">
        <w:rPr>
          <w:color w:val="000000"/>
          <w:sz w:val="28"/>
          <w:szCs w:val="26"/>
        </w:rPr>
        <w:t xml:space="preserve">контроль за ходом реализации </w:t>
      </w:r>
      <w:bookmarkStart w:id="5" w:name="YANDEX_99"/>
      <w:bookmarkEnd w:id="5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в течение всего периода ее реализации осуществляет </w:t>
      </w:r>
      <w:r>
        <w:rPr>
          <w:color w:val="000000"/>
          <w:sz w:val="28"/>
          <w:szCs w:val="26"/>
        </w:rPr>
        <w:t>администрация Запорожского сельского поселения Темрюкского района</w:t>
      </w:r>
      <w:r w:rsidRPr="002A1B41">
        <w:rPr>
          <w:color w:val="000000"/>
          <w:sz w:val="28"/>
          <w:szCs w:val="26"/>
        </w:rPr>
        <w:t>.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>В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случае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несоответствия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результатов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выполнения</w:t>
      </w:r>
      <w:r>
        <w:rPr>
          <w:color w:val="000000"/>
          <w:sz w:val="28"/>
          <w:szCs w:val="26"/>
        </w:rPr>
        <w:t xml:space="preserve"> в</w:t>
      </w:r>
      <w:r w:rsidRPr="002A1B41">
        <w:rPr>
          <w:color w:val="000000"/>
          <w:sz w:val="28"/>
          <w:szCs w:val="26"/>
        </w:rPr>
        <w:t>едомственной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индикаторам оценки результативности главой </w:t>
      </w:r>
      <w:r>
        <w:rPr>
          <w:color w:val="000000"/>
          <w:sz w:val="28"/>
          <w:szCs w:val="26"/>
        </w:rPr>
        <w:t>Запорожского сельского поселения Темрюкского района</w:t>
      </w:r>
      <w:r w:rsidRPr="002A1B41">
        <w:rPr>
          <w:color w:val="000000"/>
          <w:sz w:val="28"/>
          <w:szCs w:val="26"/>
        </w:rPr>
        <w:t xml:space="preserve"> может быть принято одно из следующих решений: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>–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о корректировке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>целевых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индикаторов </w:t>
      </w:r>
      <w:bookmarkStart w:id="6" w:name="YANDEX_126"/>
      <w:bookmarkEnd w:id="6"/>
      <w:r w:rsidRPr="002A1B41">
        <w:rPr>
          <w:color w:val="000000"/>
          <w:sz w:val="28"/>
          <w:szCs w:val="26"/>
        </w:rPr>
        <w:t>других параметров</w:t>
      </w:r>
      <w:bookmarkStart w:id="7" w:name="YANDEX_129"/>
      <w:bookmarkEnd w:id="7"/>
      <w:r w:rsidRPr="002A1B41">
        <w:rPr>
          <w:color w:val="000000"/>
          <w:sz w:val="28"/>
          <w:szCs w:val="26"/>
        </w:rPr>
        <w:t>;</w:t>
      </w:r>
    </w:p>
    <w:p w:rsidR="00FF551B" w:rsidRPr="00547AA6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– о корректировке целей </w:t>
      </w:r>
      <w:bookmarkStart w:id="8" w:name="YANDEX_130"/>
      <w:bookmarkEnd w:id="8"/>
      <w:r w:rsidRPr="002A1B41">
        <w:rPr>
          <w:color w:val="000000"/>
          <w:sz w:val="28"/>
          <w:szCs w:val="26"/>
        </w:rPr>
        <w:t xml:space="preserve">сроков реализации </w:t>
      </w:r>
      <w:bookmarkStart w:id="9" w:name="YANDEX_131"/>
      <w:bookmarkEnd w:id="9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перечня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программных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мероприятий</w:t>
      </w:r>
      <w:r w:rsidRPr="00547AA6">
        <w:rPr>
          <w:color w:val="000000"/>
          <w:sz w:val="28"/>
          <w:szCs w:val="26"/>
        </w:rPr>
        <w:t>;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547AA6">
        <w:rPr>
          <w:color w:val="000000"/>
          <w:sz w:val="28"/>
          <w:szCs w:val="26"/>
        </w:rPr>
        <w:t xml:space="preserve">– </w:t>
      </w:r>
      <w:r w:rsidRPr="002A1B41">
        <w:rPr>
          <w:color w:val="000000"/>
          <w:sz w:val="28"/>
          <w:szCs w:val="26"/>
        </w:rPr>
        <w:t>об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изменении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форм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>и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методов управления реализации</w:t>
      </w:r>
      <w:bookmarkStart w:id="10" w:name="YANDEX_135"/>
      <w:bookmarkEnd w:id="10"/>
      <w:r w:rsidRPr="002A1B41">
        <w:rPr>
          <w:color w:val="000000"/>
          <w:sz w:val="28"/>
          <w:szCs w:val="26"/>
        </w:rPr>
        <w:t>;</w:t>
      </w:r>
    </w:p>
    <w:p w:rsidR="00FF551B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– об объемах финансирования </w:t>
      </w:r>
      <w:bookmarkStart w:id="11" w:name="YANDEX_138"/>
      <w:bookmarkEnd w:id="11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>
        <w:rPr>
          <w:color w:val="000000"/>
          <w:sz w:val="28"/>
          <w:szCs w:val="26"/>
        </w:rPr>
        <w:t>.</w:t>
      </w:r>
    </w:p>
    <w:p w:rsidR="003F4454" w:rsidRPr="00FF551B" w:rsidRDefault="003F4454" w:rsidP="00FF551B">
      <w:pPr>
        <w:jc w:val="both"/>
        <w:rPr>
          <w:color w:val="000000"/>
          <w:sz w:val="28"/>
          <w:szCs w:val="26"/>
        </w:rPr>
      </w:pPr>
    </w:p>
    <w:p w:rsid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F551B" w:rsidRPr="003F4454" w:rsidRDefault="00FF551B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Глава Запорожского сельского поселения </w:t>
      </w: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</w:t>
      </w:r>
      <w:r w:rsidR="00FF551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F551B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Н.Г.Колодина</w:t>
      </w:r>
      <w:proofErr w:type="spellEnd"/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84B63" w:rsidRPr="003F4454" w:rsidRDefault="00A84B63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A84B63" w:rsidRPr="003F4454" w:rsidSect="00EF207A">
      <w:headerReference w:type="default" r:id="rId12"/>
      <w:pgSz w:w="11906" w:h="16838"/>
      <w:pgMar w:top="142" w:right="850" w:bottom="567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735" w:rsidRDefault="00053735" w:rsidP="003F4454">
      <w:r>
        <w:separator/>
      </w:r>
    </w:p>
  </w:endnote>
  <w:endnote w:type="continuationSeparator" w:id="0">
    <w:p w:rsidR="00053735" w:rsidRDefault="00053735" w:rsidP="003F44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735" w:rsidRDefault="00053735" w:rsidP="003F4454">
      <w:r>
        <w:separator/>
      </w:r>
    </w:p>
  </w:footnote>
  <w:footnote w:type="continuationSeparator" w:id="0">
    <w:p w:rsidR="00053735" w:rsidRDefault="00053735" w:rsidP="003F44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597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551B" w:rsidRDefault="00FF551B">
        <w:pPr>
          <w:pStyle w:val="a5"/>
          <w:jc w:val="center"/>
        </w:pPr>
      </w:p>
      <w:p w:rsidR="00FF551B" w:rsidRPr="003F4454" w:rsidRDefault="009A75B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F44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F551B" w:rsidRPr="003F44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F44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D25E0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3F44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F551B" w:rsidRDefault="00FF551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E828E70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2">
    <w:nsid w:val="32466EE4"/>
    <w:multiLevelType w:val="hybridMultilevel"/>
    <w:tmpl w:val="431ACB36"/>
    <w:lvl w:ilvl="0" w:tplc="B88EB5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8360C88"/>
    <w:multiLevelType w:val="hybridMultilevel"/>
    <w:tmpl w:val="AA7033E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156FB"/>
    <w:multiLevelType w:val="hybridMultilevel"/>
    <w:tmpl w:val="26BC7FF2"/>
    <w:lvl w:ilvl="0" w:tplc="2E98C7F2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64A4"/>
    <w:rsid w:val="00053735"/>
    <w:rsid w:val="002364A4"/>
    <w:rsid w:val="003F4454"/>
    <w:rsid w:val="009A75B6"/>
    <w:rsid w:val="00A84B63"/>
    <w:rsid w:val="00DD25E0"/>
    <w:rsid w:val="00EF207A"/>
    <w:rsid w:val="00FF5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1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5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4454"/>
    <w:rPr>
      <w:color w:val="0000FF" w:themeColor="hyperlink"/>
      <w:u w:val="single"/>
    </w:rPr>
  </w:style>
  <w:style w:type="paragraph" w:styleId="a4">
    <w:name w:val="No Spacing"/>
    <w:uiPriority w:val="1"/>
    <w:qFormat/>
    <w:rsid w:val="003F4454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F4454"/>
  </w:style>
  <w:style w:type="paragraph" w:styleId="a7">
    <w:name w:val="footer"/>
    <w:basedOn w:val="a"/>
    <w:link w:val="a8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F4454"/>
  </w:style>
  <w:style w:type="character" w:customStyle="1" w:styleId="10">
    <w:name w:val="Заголовок 1 Знак"/>
    <w:basedOn w:val="a0"/>
    <w:link w:val="1"/>
    <w:rsid w:val="00FF551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Body Text"/>
    <w:basedOn w:val="a"/>
    <w:link w:val="aa"/>
    <w:rsid w:val="00FF551B"/>
    <w:pPr>
      <w:spacing w:after="120"/>
      <w:ind w:firstLine="431"/>
      <w:jc w:val="both"/>
    </w:pPr>
    <w:rPr>
      <w:rFonts w:cs="Calibri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FF551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F55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51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F5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1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5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4454"/>
    <w:rPr>
      <w:color w:val="0000FF" w:themeColor="hyperlink"/>
      <w:u w:val="single"/>
    </w:rPr>
  </w:style>
  <w:style w:type="paragraph" w:styleId="a4">
    <w:name w:val="No Spacing"/>
    <w:uiPriority w:val="1"/>
    <w:qFormat/>
    <w:rsid w:val="003F4454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F4454"/>
  </w:style>
  <w:style w:type="paragraph" w:styleId="a7">
    <w:name w:val="footer"/>
    <w:basedOn w:val="a"/>
    <w:link w:val="a8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F4454"/>
  </w:style>
  <w:style w:type="character" w:customStyle="1" w:styleId="10">
    <w:name w:val="Заголовок 1 Знак"/>
    <w:basedOn w:val="a0"/>
    <w:link w:val="1"/>
    <w:rsid w:val="00FF551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Body Text"/>
    <w:basedOn w:val="a"/>
    <w:link w:val="aa"/>
    <w:rsid w:val="00FF551B"/>
    <w:pPr>
      <w:spacing w:after="120"/>
      <w:ind w:firstLine="431"/>
      <w:jc w:val="both"/>
    </w:pPr>
    <w:rPr>
      <w:rFonts w:cs="Calibri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FF551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F55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51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F55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2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05783.0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1F825-E1F2-4832-859C-5B045514A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2540</Words>
  <Characters>14482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User</cp:lastModifiedBy>
  <cp:revision>3</cp:revision>
  <cp:lastPrinted>2018-11-10T17:49:00Z</cp:lastPrinted>
  <dcterms:created xsi:type="dcterms:W3CDTF">2018-11-10T17:23:00Z</dcterms:created>
  <dcterms:modified xsi:type="dcterms:W3CDTF">2019-11-07T12:35:00Z</dcterms:modified>
</cp:coreProperties>
</file>