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D708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D11F73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D11F73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D11F7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3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.0</w:t>
      </w:r>
      <w:r w:rsidR="00D11F7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9</w:t>
      </w:r>
      <w:r w:rsidRPr="00D83FA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202</w:t>
      </w:r>
      <w:r w:rsidR="005C16F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1146BD"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№ </w:t>
      </w:r>
      <w:r w:rsidR="001146BD">
        <w:rPr>
          <w:rFonts w:ascii="Times New Roman" w:hAnsi="Times New Roman" w:cs="Times New Roman"/>
          <w:sz w:val="28"/>
          <w:szCs w:val="28"/>
        </w:rPr>
        <w:t xml:space="preserve"> </w:t>
      </w:r>
      <w:r w:rsidR="001146BD" w:rsidRPr="001146BD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11F7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95</w:t>
      </w: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8AD" w:rsidRPr="0019668F" w:rsidRDefault="00FA48AD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1000"/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2000"/>
      <w:bookmarkEnd w:id="0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3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3. 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4000"/>
      <w:bookmarkEnd w:id="2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1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5000"/>
      <w:bookmarkEnd w:id="3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51000"/>
      <w:bookmarkEnd w:id="4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3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52000"/>
      <w:bookmarkEnd w:id="5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lastRenderedPageBreak/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53000"/>
      <w:bookmarkEnd w:id="6"/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4000"/>
      <w:bookmarkEnd w:id="7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енежное поощрение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пяти </w:t>
      </w:r>
      <w:r w:rsidR="0019668F"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55000"/>
      <w:bookmarkEnd w:id="8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10433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56000"/>
      <w:bookmarkEnd w:id="9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</w:t>
      </w:r>
      <w:bookmarkStart w:id="11" w:name="_GoBack"/>
      <w:bookmarkEnd w:id="11"/>
      <w:r w:rsidRPr="0019668F">
        <w:rPr>
          <w:rFonts w:ascii="Times New Roman" w:hAnsi="Times New Roman" w:cs="Times New Roman"/>
          <w:sz w:val="28"/>
          <w:szCs w:val="28"/>
        </w:rPr>
        <w:t xml:space="preserve">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0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</w:t>
      </w:r>
      <w:r w:rsidR="00511E8E">
        <w:rPr>
          <w:rFonts w:ascii="Times New Roman" w:hAnsi="Times New Roman" w:cs="Times New Roman"/>
          <w:sz w:val="28"/>
          <w:szCs w:val="28"/>
        </w:rPr>
        <w:t>их служащих Краснодарского края, а также на основании статьи 134 Трудового кодекса Российской Федерации.</w:t>
      </w:r>
    </w:p>
    <w:bookmarkEnd w:id="12"/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14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в размере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511E8E">
        <w:rPr>
          <w:rFonts w:ascii="Times New Roman" w:hAnsi="Times New Roman" w:cs="Times New Roman"/>
          <w:sz w:val="28"/>
          <w:szCs w:val="28"/>
        </w:rPr>
        <w:t>ного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я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 w:rsidR="00511E8E">
        <w:rPr>
          <w:rFonts w:ascii="Times New Roman" w:hAnsi="Times New Roman" w:cs="Times New Roman"/>
          <w:sz w:val="28"/>
          <w:szCs w:val="28"/>
        </w:rPr>
        <w:t>до пяти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511E8E">
        <w:rPr>
          <w:rFonts w:ascii="Times New Roman" w:hAnsi="Times New Roman" w:cs="Times New Roman"/>
          <w:sz w:val="28"/>
          <w:szCs w:val="28"/>
        </w:rPr>
        <w:t>четырех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="00DB0F86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й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</w:p>
    <w:p w:rsidR="00761BFD" w:rsidRPr="00F86B55" w:rsidRDefault="00F86B55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F78" w:rsidRDefault="00C83F78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C0D33" w:rsidRDefault="00C83F78" w:rsidP="005C0D3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 w:cs="Verdana"/>
          <w:color w:val="000000"/>
          <w:sz w:val="28"/>
          <w:szCs w:val="28"/>
        </w:rPr>
        <w:t xml:space="preserve">Глава Запорожского </w:t>
      </w:r>
      <w:r w:rsidR="005C0D33">
        <w:rPr>
          <w:rFonts w:ascii="Times New Roman" w:hAnsi="Times New Roman"/>
          <w:sz w:val="28"/>
        </w:rPr>
        <w:t xml:space="preserve">сельского поселения </w:t>
      </w:r>
    </w:p>
    <w:p w:rsidR="005C0D33" w:rsidRDefault="005C0D33" w:rsidP="005C0D33">
      <w:pPr>
        <w:tabs>
          <w:tab w:val="left" w:pos="13867"/>
        </w:tabs>
        <w:ind w:firstLine="0"/>
        <w:rPr>
          <w:rFonts w:ascii="Times New Roman" w:hAnsi="Times New Roman" w:cs="Verdana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</w:t>
      </w:r>
      <w:r w:rsidR="00C83F78">
        <w:rPr>
          <w:rFonts w:ascii="Times New Roman" w:hAnsi="Times New Roman"/>
          <w:sz w:val="28"/>
        </w:rPr>
        <w:t xml:space="preserve">                     </w:t>
      </w:r>
      <w:proofErr w:type="spellStart"/>
      <w:r w:rsidR="00C83F78">
        <w:rPr>
          <w:rFonts w:ascii="Times New Roman" w:hAnsi="Times New Roman"/>
          <w:sz w:val="28"/>
        </w:rPr>
        <w:t>Н.Г.Колодина</w:t>
      </w:r>
      <w:proofErr w:type="spellEnd"/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DC8" w:rsidRDefault="00CA4DC8" w:rsidP="00761BFD">
      <w:r>
        <w:separator/>
      </w:r>
    </w:p>
  </w:endnote>
  <w:endnote w:type="continuationSeparator" w:id="0">
    <w:p w:rsidR="00CA4DC8" w:rsidRDefault="00CA4DC8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DC8" w:rsidRDefault="00CA4DC8" w:rsidP="00761BFD">
      <w:r>
        <w:separator/>
      </w:r>
    </w:p>
  </w:footnote>
  <w:footnote w:type="continuationSeparator" w:id="0">
    <w:p w:rsidR="00CA4DC8" w:rsidRDefault="00CA4DC8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  <w:docPartObj>
        <w:docPartGallery w:val="Page Numbers (Top of Page)"/>
        <w:docPartUnique/>
      </w:docPartObj>
    </w:sdtPr>
    <w:sdtContent>
      <w:p w:rsidR="003B40B8" w:rsidRDefault="00315D30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3B40B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D11F73">
          <w:rPr>
            <w:rFonts w:ascii="Times New Roman" w:hAnsi="Times New Roman" w:cs="Times New Roman"/>
            <w:noProof/>
          </w:rPr>
          <w:t>2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3B40B8" w:rsidRDefault="003B40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1D"/>
    <w:rsid w:val="00016820"/>
    <w:rsid w:val="000C2FB5"/>
    <w:rsid w:val="000C6015"/>
    <w:rsid w:val="001146BD"/>
    <w:rsid w:val="0019668F"/>
    <w:rsid w:val="001C42C3"/>
    <w:rsid w:val="001E68F5"/>
    <w:rsid w:val="00265E8F"/>
    <w:rsid w:val="002872FB"/>
    <w:rsid w:val="002B4E38"/>
    <w:rsid w:val="002B7D7D"/>
    <w:rsid w:val="002D7085"/>
    <w:rsid w:val="00311CC7"/>
    <w:rsid w:val="00315D30"/>
    <w:rsid w:val="003713E6"/>
    <w:rsid w:val="00395761"/>
    <w:rsid w:val="003B40B8"/>
    <w:rsid w:val="003C53F6"/>
    <w:rsid w:val="00410BF5"/>
    <w:rsid w:val="00466EF1"/>
    <w:rsid w:val="00471633"/>
    <w:rsid w:val="004E4830"/>
    <w:rsid w:val="00511E8E"/>
    <w:rsid w:val="005B6F0B"/>
    <w:rsid w:val="005C0D33"/>
    <w:rsid w:val="005C16FD"/>
    <w:rsid w:val="005E2A43"/>
    <w:rsid w:val="005F5212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806688"/>
    <w:rsid w:val="008662E8"/>
    <w:rsid w:val="008C6E3D"/>
    <w:rsid w:val="0098664A"/>
    <w:rsid w:val="009B33BD"/>
    <w:rsid w:val="00A05973"/>
    <w:rsid w:val="00A30C66"/>
    <w:rsid w:val="00A94C7D"/>
    <w:rsid w:val="00AB26EA"/>
    <w:rsid w:val="00AD05D3"/>
    <w:rsid w:val="00AD0BB6"/>
    <w:rsid w:val="00B521D8"/>
    <w:rsid w:val="00BE0F48"/>
    <w:rsid w:val="00C82397"/>
    <w:rsid w:val="00C83F78"/>
    <w:rsid w:val="00CA4DC8"/>
    <w:rsid w:val="00CF6403"/>
    <w:rsid w:val="00D10C45"/>
    <w:rsid w:val="00D11F73"/>
    <w:rsid w:val="00D45C9D"/>
    <w:rsid w:val="00D83FA6"/>
    <w:rsid w:val="00DB0F86"/>
    <w:rsid w:val="00E10433"/>
    <w:rsid w:val="00E539BF"/>
    <w:rsid w:val="00E61189"/>
    <w:rsid w:val="00E91955"/>
    <w:rsid w:val="00EA55CB"/>
    <w:rsid w:val="00F86B55"/>
    <w:rsid w:val="00FA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0" TargetMode="External"/><Relationship Id="rId13" Type="http://schemas.openxmlformats.org/officeDocument/2006/relationships/hyperlink" Target="garantF1://12049402.1000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0002673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02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4124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0" TargetMode="External"/><Relationship Id="rId14" Type="http://schemas.openxmlformats.org/officeDocument/2006/relationships/hyperlink" Target="garantF1://10002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C3652-AC60-4C4C-8B08-87DE1903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User</cp:lastModifiedBy>
  <cp:revision>14</cp:revision>
  <cp:lastPrinted>2022-02-10T08:38:00Z</cp:lastPrinted>
  <dcterms:created xsi:type="dcterms:W3CDTF">2020-01-16T14:33:00Z</dcterms:created>
  <dcterms:modified xsi:type="dcterms:W3CDTF">2022-09-21T08:49:00Z</dcterms:modified>
</cp:coreProperties>
</file>