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 xml:space="preserve">                                                                              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ПРИЛОЖЕНИЕ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      УТВЕРЖДЕНА 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муниципальная программа                                                                                                                                                                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Запорожского  сельского    поселения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  Темрюкского  района</w:t>
      </w:r>
    </w:p>
    <w:p w:rsidR="00F8759C" w:rsidRPr="00CC37C4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                                                                       от  </w:t>
      </w:r>
      <w:r w:rsidR="00CC37C4">
        <w:rPr>
          <w:rFonts w:ascii="Times New Roman" w:eastAsia="Arial Unicode MS" w:hAnsi="Times New Roman" w:cs="Times New Roman"/>
          <w:i/>
          <w:color w:val="000000"/>
          <w:sz w:val="28"/>
          <w:szCs w:val="28"/>
          <w:u w:val="single"/>
          <w:lang w:bidi="en-US"/>
        </w:rPr>
        <w:softHyphen/>
      </w:r>
      <w:r w:rsidR="00CC37C4">
        <w:rPr>
          <w:rFonts w:ascii="Times New Roman" w:eastAsia="Arial Unicode MS" w:hAnsi="Times New Roman" w:cs="Times New Roman"/>
          <w:i/>
          <w:color w:val="000000"/>
          <w:sz w:val="28"/>
          <w:szCs w:val="28"/>
          <w:u w:val="single"/>
          <w:lang w:bidi="en-US"/>
        </w:rPr>
        <w:softHyphen/>
      </w:r>
      <w:r w:rsidR="00CC37C4">
        <w:rPr>
          <w:rFonts w:ascii="Times New Roman" w:eastAsia="Arial Unicode MS" w:hAnsi="Times New Roman" w:cs="Times New Roman"/>
          <w:i/>
          <w:color w:val="000000"/>
          <w:sz w:val="28"/>
          <w:szCs w:val="28"/>
          <w:u w:val="single"/>
          <w:lang w:bidi="en-US"/>
        </w:rPr>
        <w:softHyphen/>
      </w:r>
      <w:r w:rsidR="00CC37C4">
        <w:rPr>
          <w:rFonts w:ascii="Times New Roman" w:eastAsia="Arial Unicode MS" w:hAnsi="Times New Roman" w:cs="Times New Roman"/>
          <w:i/>
          <w:color w:val="000000"/>
          <w:sz w:val="28"/>
          <w:szCs w:val="28"/>
          <w:u w:val="single"/>
          <w:lang w:bidi="en-US"/>
        </w:rPr>
        <w:softHyphen/>
      </w:r>
      <w:r w:rsidR="00CC37C4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_________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№ </w:t>
      </w:r>
      <w:r w:rsidR="00CC37C4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______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Arial" w:eastAsia="Arial Unicode MS" w:hAnsi="Arial" w:cs="Tahoma"/>
          <w:color w:val="000000"/>
          <w:sz w:val="28"/>
          <w:szCs w:val="28"/>
          <w:lang w:bidi="en-US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Структура программы: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en-US"/>
        </w:rPr>
        <w:t>I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. Паспорт муниципальной программы 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val="en-US" w:bidi="en-US"/>
        </w:rPr>
        <w:t>II</w:t>
      </w: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.Содержание муниципальной программы: 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1. Цели, задачи и целевые показатели, сроки и этапы реализации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2. Перечень и краткое описание программы и основных мероприятий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3. Обоснование ресурсного обеспечения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4. Методика оценки эффективности реализации муниципальной программы.</w:t>
      </w:r>
    </w:p>
    <w:p w:rsidR="00F8759C" w:rsidRPr="00F8759C" w:rsidRDefault="00F8759C" w:rsidP="00F8759C">
      <w:pPr>
        <w:widowControl w:val="0"/>
        <w:suppressAutoHyphens/>
        <w:spacing w:after="0"/>
        <w:ind w:firstLine="851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5. Механизм реализации муниципальной программы и </w:t>
      </w:r>
      <w:proofErr w:type="gramStart"/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>контроль за</w:t>
      </w:r>
      <w:proofErr w:type="gramEnd"/>
      <w:r w:rsidRPr="00F8759C"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  <w:t xml:space="preserve"> ее выполнением.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en-US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</w:pPr>
      <w:r w:rsidRPr="00F875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  <w:t>Паспорт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</w:pPr>
      <w:r w:rsidRPr="00F8759C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  <w:t>Муниципальной программы  энергосбережения и повышения энергетической эффективности Запорожского сельского поселения Темрюкского района»</w:t>
      </w: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bidi="ru-RU"/>
        </w:rPr>
      </w:pPr>
    </w:p>
    <w:p w:rsidR="00F8759C" w:rsidRPr="00F8759C" w:rsidRDefault="00F8759C" w:rsidP="00F8759C">
      <w:pPr>
        <w:widowControl w:val="0"/>
        <w:suppressAutoHyphens/>
        <w:spacing w:after="0"/>
        <w:ind w:firstLine="567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6224"/>
      </w:tblGrid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Наименование</w:t>
            </w:r>
            <w:proofErr w:type="spellEnd"/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Муниципальная программа энергосбережения и повышения энергетической эффективности Запорожского сельского поселения Темрюкского района на 2018 – 2019 годы (далее - Муниципальная программа)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Основание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разработки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Федеральный закон от 23.11.2009 № 261 -ФЗ «Об энергосбережении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ab/>
              <w:t>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Постановление Правительства Российской 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Федерации от 31.12.2009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Приказ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Приказ Минэнерго России от 30.06.2014 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N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lastRenderedPageBreak/>
              <w:t>Муниципальные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заказчики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Администрация Запорожского сельского поселения Темрюкского района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Исполнители</w:t>
            </w:r>
            <w:proofErr w:type="spellEnd"/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Администрация Запорожского сельского поселения Темрюкского района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Разработчик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Индивидуальный предприниматель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Дударев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Антон Николаевич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Цели и задачи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Цели муниципальной программы: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Основными целями</w:t>
            </w: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ab/>
              <w:t xml:space="preserve"> муниципальной программы являются повышение энергетической эффективности при производстве, передаче и потреблении энергетических ресурсов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Целевые показатели,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позволяющие оценить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ход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Количество установленных светодиодных светильников в системе наружного освещения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Доля светодиодных светильников в системе наружного освещения в общем количестве светильников;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Объем потребления электроэнергии системой наружного освещения;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CC37C4" w:rsidRPr="00F8759C" w:rsidRDefault="00CC37C4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Сроки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реализации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муниципальной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2018-2020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годы</w:t>
            </w:r>
            <w:proofErr w:type="spellEnd"/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Объемы и источники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финансирования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Общий объем финансирования муниципальной программы составляет 607 тыс. руб.: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2018 год - 147 тыс. руб.,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2019 год - 210 тыс. руб.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2020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год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 –250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тыс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. </w:t>
            </w:r>
            <w:proofErr w:type="spellStart"/>
            <w:proofErr w:type="gram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руб</w:t>
            </w:r>
            <w:proofErr w:type="spellEnd"/>
            <w:proofErr w:type="gram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firstLine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F8759C" w:rsidRPr="00F8759C" w:rsidTr="008302A2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Сокращение расходов электрической энергии в муниципальных учреждениях;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Экономия электрической энергии в системах наружного освещения;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Экономия электрической энергии в системах освещения бюджетных учреждений;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Сокращение удельных показателей энергопотребления экономики муниципального образования на 15 процентов по сравнению с 2017 годом;</w:t>
            </w:r>
          </w:p>
          <w:p w:rsidR="00F8759C" w:rsidRPr="00F8759C" w:rsidRDefault="00F8759C" w:rsidP="00F8759C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</w:pP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Повышение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заинтересованности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 xml:space="preserve"> в </w:t>
            </w:r>
            <w:proofErr w:type="spellStart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энергосбережении</w:t>
            </w:r>
            <w:proofErr w:type="spellEnd"/>
            <w:r w:rsidRPr="00F8759C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  <w:t>.</w:t>
            </w: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</w:p>
          <w:p w:rsidR="00F8759C" w:rsidRPr="00F8759C" w:rsidRDefault="00F8759C" w:rsidP="00F8759C">
            <w:pPr>
              <w:widowControl w:val="0"/>
              <w:suppressAutoHyphens/>
              <w:spacing w:after="0"/>
              <w:ind w:left="56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bidi="ru-RU"/>
              </w:rPr>
            </w:pPr>
          </w:p>
        </w:tc>
      </w:tr>
    </w:tbl>
    <w:p w:rsidR="00B91469" w:rsidRDefault="00B91469"/>
    <w:p w:rsidR="00F8759C" w:rsidRDefault="00F8759C" w:rsidP="00F8759C">
      <w:pPr>
        <w:pStyle w:val="1"/>
        <w:numPr>
          <w:ilvl w:val="0"/>
          <w:numId w:val="0"/>
        </w:numPr>
        <w:ind w:left="928"/>
        <w:jc w:val="left"/>
        <w:rPr>
          <w:rFonts w:ascii="Times New Roman" w:hAnsi="Times New Roman" w:cs="Times New Roman"/>
          <w:color w:val="000000" w:themeColor="text1"/>
        </w:rPr>
      </w:pPr>
      <w:bookmarkStart w:id="0" w:name="_Toc480139621"/>
      <w:r w:rsidRPr="00C051BB">
        <w:rPr>
          <w:rFonts w:ascii="Times New Roman" w:hAnsi="Times New Roman" w:cs="Times New Roman"/>
          <w:color w:val="000000" w:themeColor="text1"/>
          <w:lang w:bidi="en-US"/>
        </w:rPr>
        <w:t>II</w:t>
      </w:r>
      <w:r w:rsidRPr="00C051BB">
        <w:rPr>
          <w:rFonts w:ascii="Times New Roman" w:hAnsi="Times New Roman" w:cs="Times New Roman"/>
          <w:color w:val="000000" w:themeColor="text1"/>
        </w:rPr>
        <w:t xml:space="preserve">.Содержание муниципальной программы: </w:t>
      </w:r>
    </w:p>
    <w:p w:rsidR="00F8759C" w:rsidRPr="00BD1CC0" w:rsidRDefault="00F8759C" w:rsidP="00F8759C"/>
    <w:p w:rsidR="00F8759C" w:rsidRPr="00D52651" w:rsidRDefault="00F8759C" w:rsidP="00F8759C">
      <w:pPr>
        <w:pStyle w:val="1"/>
        <w:numPr>
          <w:ilvl w:val="0"/>
          <w:numId w:val="6"/>
        </w:numPr>
        <w:ind w:left="0" w:firstLine="0"/>
        <w:rPr>
          <w:rFonts w:ascii="Times New Roman" w:hAnsi="Times New Roman" w:cs="Times New Roman"/>
          <w:color w:val="000000" w:themeColor="text1"/>
        </w:rPr>
      </w:pPr>
      <w:r w:rsidRPr="00D52651">
        <w:rPr>
          <w:rFonts w:ascii="Times New Roman" w:hAnsi="Times New Roman" w:cs="Times New Roman"/>
          <w:color w:val="000000" w:themeColor="text1"/>
        </w:rPr>
        <w:t xml:space="preserve">Цели и задачи </w:t>
      </w:r>
      <w:bookmarkEnd w:id="0"/>
      <w:r w:rsidRPr="00D52651">
        <w:rPr>
          <w:rFonts w:ascii="Times New Roman" w:hAnsi="Times New Roman" w:cs="Times New Roman"/>
          <w:color w:val="000000" w:themeColor="text1"/>
        </w:rPr>
        <w:t>муниципальной программы</w:t>
      </w:r>
    </w:p>
    <w:p w:rsidR="00F8759C" w:rsidRPr="00D52651" w:rsidRDefault="00F8759C" w:rsidP="00F8759C">
      <w:pPr>
        <w:rPr>
          <w:color w:val="000000" w:themeColor="text1"/>
        </w:rPr>
      </w:pP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Основными целями муниципальной программы являются повышение энергетической эффективности при производстве, передаче и потреблении энергетических ресурсов 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</w:r>
      <w:proofErr w:type="gramEnd"/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Для достижения поставленных целей в ходе реализации муниципальной программы органам местного самоуправления необходимо решить следующие задачи: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энергоресурсосбережения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решения данной задачи необходимо: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ресурсоэнергосбережению, соответствующих или превышающих требования федеральных нормативных актов, и обеспечить их соблюдение;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проведению энергосберегающих мероприятий (обеспечение приборами учета коммунальных ресурсов, утепление фасадов) при капитальном ремонте многоквартирных жилых домов.</w:t>
      </w:r>
    </w:p>
    <w:p w:rsidR="00F8759C" w:rsidRPr="00533BDF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3BD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Проведение энергетических обследований.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 Уменьшение потребления энергии и связанных с этим затрат по муниципальным учреждениям: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 (оборудования и технологий) с учётом результатов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энергоаудита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учитывать показатели энергоэффективности серийно производимого оборудования при закупках для муниципальных нужд;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Снижение, по сравнению с 2017 г., расходов электрической энергии на наружное освещение Запорожского сельского поселения на 30%.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светильников внутреннего освещения на современные энергосберегающие (светодиодные светильники).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воздушных линий на СИП (</w:t>
      </w: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Start"/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амонесущий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изолированный провод).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Поставленная цель и решаемые в рамках муниципальной программы задачи направлены на повышение эффективности использования энергетических ресурсов при их потреблении. 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" w:name="_Toc480139623"/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этапы </w:t>
      </w:r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реализации </w:t>
      </w:r>
      <w:bookmarkEnd w:id="1"/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8759C" w:rsidRPr="00B67515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Программа рассчитана на 2018-2020 годы и включает в себя: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введение практики применения требований по ресурсоэнергосбережению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учет показателей энергоэффективности серийно производимого оборудования при закупках для муниципальных нужд;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наружного освещения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современные энергосберегающие (в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т.ч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светодиодные);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мероприятий по информационному обеспечению и пропаганде энергосбережения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средних общеобразовательных учебных заведений;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Муниципальной программой предполагается до 2020 года обеспечить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снижение среднего удельного потребления энергии в муниципальных учреждениях на 30 процентов к уровню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2017 года.</w:t>
      </w:r>
    </w:p>
    <w:p w:rsidR="00F8759C" w:rsidRPr="00D52651" w:rsidRDefault="00F8759C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Default="00F8759C" w:rsidP="00F8759C">
      <w:pPr>
        <w:pStyle w:val="a7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2" w:name="_Toc480139624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Перечень и краткое описание </w:t>
      </w:r>
      <w:r w:rsidRPr="0071232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ы</w:t>
      </w:r>
      <w:r w:rsidRPr="0071232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и основн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ых мероприятий муниципальной </w:t>
      </w:r>
      <w:r w:rsidRPr="0071232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программы</w:t>
      </w:r>
    </w:p>
    <w:p w:rsidR="00F8759C" w:rsidRPr="00712320" w:rsidRDefault="00F8759C" w:rsidP="00CC37C4">
      <w:pPr>
        <w:pStyle w:val="a7"/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Toc480139625"/>
      <w:bookmarkEnd w:id="2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жилищном фонде муниципального образования</w:t>
      </w:r>
      <w:bookmarkEnd w:id="3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реализации дальнейшего комплекса </w:t>
      </w:r>
      <w:proofErr w:type="spell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энергоресурсосберегающих</w:t>
      </w:r>
      <w:proofErr w:type="spellEnd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proofErr w:type="gramEnd"/>
      <w:r w:rsidRPr="00D52651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внедрению энергосберегающих светильников, в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т.ч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на базе светодиодов;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входных дверей и окон;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фасадов;</w:t>
      </w:r>
    </w:p>
    <w:p w:rsidR="00F8759C" w:rsidRPr="00D52651" w:rsidRDefault="00F8759C" w:rsidP="00CC37C4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установке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водосберегающей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арматуры.</w:t>
      </w:r>
    </w:p>
    <w:p w:rsidR="00F8759C" w:rsidRPr="00CC37C4" w:rsidRDefault="00F8759C" w:rsidP="00F8759C">
      <w:pPr>
        <w:pStyle w:val="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жилищном фонде муниципального образования</w:t>
      </w:r>
    </w:p>
    <w:p w:rsidR="00F8759C" w:rsidRPr="00D52651" w:rsidRDefault="00F8759C" w:rsidP="00F8759C">
      <w:pPr>
        <w:rPr>
          <w:color w:val="000000" w:themeColor="text1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1673"/>
        <w:gridCol w:w="1237"/>
        <w:gridCol w:w="645"/>
        <w:gridCol w:w="576"/>
        <w:gridCol w:w="576"/>
        <w:gridCol w:w="576"/>
        <w:gridCol w:w="1791"/>
        <w:gridCol w:w="1718"/>
      </w:tblGrid>
      <w:tr w:rsidR="00F8759C" w:rsidRPr="00D52651" w:rsidTr="008302A2">
        <w:trPr>
          <w:trHeight w:val="2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№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Срок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выполнения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Объем финансирования, тыс. руб.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Источник финансирования (в установленном порядке)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Исполнители (в установленном порядке)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2020</w:t>
            </w: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Мероприятия по энергосбережению и повышению энергетической эффективности в жилищном фонде муниципального образования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не требует дополнительных финансовых затрат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Администрация МО</w:t>
            </w:r>
          </w:p>
        </w:tc>
      </w:tr>
    </w:tbl>
    <w:p w:rsidR="00F8759C" w:rsidRPr="00D52651" w:rsidRDefault="00F8759C" w:rsidP="00F875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4" w:name="_Toc480139626"/>
      <w:r w:rsidRPr="0071232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системах наружного освещения</w:t>
      </w:r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Наиболее распространенный в настоящее время тип ламп,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устройств. Эргономические показатели освещения ламп ДРЛ (коэффициент 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Лампы ДНАТ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условия эксплуатации - высокую стабильность напряжения питания, температуру окружающей среды от -20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до +30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видимости освещаемых объектов, что особенно опасно для освещения скоростных автомобильных магистралей.</w:t>
      </w:r>
    </w:p>
    <w:p w:rsidR="00F8759C" w:rsidRPr="00CC37C4" w:rsidRDefault="00F8759C" w:rsidP="00CC37C4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Светодиодные лампы. Сами по себе светодиоды используются достаточно давно, в основном для индикации. Излучение света светодиодом путём рекомбинации фотонов в области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-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технология обеспечивает низкое энергопотребление и малое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экологичность, отсутствие мерцания и ровный свет. Это и есть качество современной технологии.</w:t>
      </w:r>
    </w:p>
    <w:p w:rsidR="00F8759C" w:rsidRPr="00CC37C4" w:rsidRDefault="00F8759C" w:rsidP="00F8759C">
      <w:pPr>
        <w:pStyle w:val="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Параметры рассматриваемых типов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"/>
        <w:gridCol w:w="1337"/>
        <w:gridCol w:w="1552"/>
        <w:gridCol w:w="2028"/>
        <w:gridCol w:w="2202"/>
        <w:gridCol w:w="1397"/>
      </w:tblGrid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Тип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 xml:space="preserve">Номинальная мощность, </w:t>
            </w:r>
            <w:proofErr w:type="gramStart"/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Вт</w:t>
            </w:r>
            <w:proofErr w:type="gramEnd"/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Потребляемая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активная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 xml:space="preserve">мощность, </w:t>
            </w:r>
            <w:proofErr w:type="gramStart"/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Вт</w:t>
            </w:r>
            <w:proofErr w:type="gramEnd"/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Средняя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продолжительность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горения, часов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Световой поток, Лм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ДРЛ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ДРЛ-125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125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140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6000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ДРЛ-250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280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13000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ДРЛ-400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450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24000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ДНАТ-100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115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6000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9400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ДНАТ-150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170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05pt"/>
                <w:rFonts w:eastAsia="Tahoma"/>
                <w:color w:val="000000" w:themeColor="text1"/>
                <w:sz w:val="20"/>
              </w:rPr>
              <w:t>14000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290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24000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8759C" w:rsidRPr="00D52651" w:rsidRDefault="00F8759C" w:rsidP="00830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10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ДНАТ-400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460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47500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СД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аналог ДРЛ- 250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80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до 100000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rStyle w:val="211pt"/>
                <w:rFonts w:eastAsia="Tahoma"/>
                <w:color w:val="000000" w:themeColor="text1"/>
                <w:sz w:val="20"/>
              </w:rPr>
              <w:t>5000</w:t>
            </w:r>
          </w:p>
        </w:tc>
      </w:tr>
    </w:tbl>
    <w:p w:rsidR="00F8759C" w:rsidRPr="00D52651" w:rsidRDefault="00F8759C" w:rsidP="00F875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8759C" w:rsidRPr="00CC37C4" w:rsidRDefault="00F8759C" w:rsidP="00F8759C">
      <w:pPr>
        <w:pStyle w:val="a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Сравнительная характеристика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163"/>
        <w:gridCol w:w="2230"/>
        <w:gridCol w:w="2372"/>
      </w:tblGrid>
      <w:tr w:rsidR="00F8759C" w:rsidRPr="00D52651" w:rsidTr="008302A2">
        <w:trPr>
          <w:trHeight w:val="23"/>
          <w:tblHeader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Тип лампы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ДРЛ-250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ДНАТ-150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СД светильник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Световой поток, Лм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13000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14000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5000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 xml:space="preserve">Потребление, </w:t>
            </w:r>
            <w:proofErr w:type="gramStart"/>
            <w:r w:rsidRPr="00D52651">
              <w:rPr>
                <w:color w:val="000000" w:themeColor="text1"/>
                <w:sz w:val="20"/>
              </w:rPr>
              <w:t>Вт</w:t>
            </w:r>
            <w:proofErr w:type="gramEnd"/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280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80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Срок службы, часов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12тыс.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10тыс.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до 100тыс.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tabs>
                <w:tab w:val="left" w:pos="2376"/>
              </w:tabs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Контрастность</w:t>
            </w:r>
            <w:r w:rsidRPr="00D52651">
              <w:rPr>
                <w:color w:val="000000" w:themeColor="text1"/>
                <w:sz w:val="20"/>
              </w:rPr>
              <w:tab/>
              <w:t>и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цветопередача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Механическая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прочность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средняя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средняя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Температурная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устойчивость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tabs>
                <w:tab w:val="left" w:pos="2386"/>
              </w:tabs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Устойчивость</w:t>
            </w:r>
            <w:r w:rsidRPr="00D52651">
              <w:rPr>
                <w:color w:val="000000" w:themeColor="text1"/>
                <w:sz w:val="20"/>
              </w:rPr>
              <w:tab/>
            </w:r>
            <w:proofErr w:type="gramStart"/>
            <w:r w:rsidRPr="00D52651">
              <w:rPr>
                <w:color w:val="000000" w:themeColor="text1"/>
                <w:sz w:val="20"/>
              </w:rPr>
              <w:t>к</w:t>
            </w:r>
            <w:proofErr w:type="gramEnd"/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перепадам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отличная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Время выхода в рабочий режим</w:t>
            </w:r>
          </w:p>
          <w:p w:rsidR="00CC37C4" w:rsidRPr="00D52651" w:rsidRDefault="00CC37C4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10-15 минут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10-15 минут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мгновенно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Нагревается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сильно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сильно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слабо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Экологическая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безопасность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лампа содержит до 100мг паров ртути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tabs>
                <w:tab w:val="left" w:pos="2045"/>
              </w:tabs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лампа содержит натриево-ртутную амальгаму</w:t>
            </w:r>
            <w:r w:rsidRPr="00D52651">
              <w:rPr>
                <w:color w:val="000000" w:themeColor="text1"/>
                <w:sz w:val="20"/>
              </w:rPr>
              <w:tab/>
              <w:t>и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ксенон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абсолютно</w:t>
            </w:r>
          </w:p>
          <w:p w:rsidR="00F8759C" w:rsidRPr="00D52651" w:rsidRDefault="00F8759C" w:rsidP="008302A2">
            <w:pPr>
              <w:pStyle w:val="22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  <w:sz w:val="20"/>
              </w:rPr>
            </w:pPr>
            <w:r w:rsidRPr="00D52651">
              <w:rPr>
                <w:color w:val="000000" w:themeColor="text1"/>
                <w:sz w:val="20"/>
              </w:rPr>
              <w:t>безвредна</w:t>
            </w:r>
          </w:p>
        </w:tc>
      </w:tr>
    </w:tbl>
    <w:p w:rsidR="00F8759C" w:rsidRPr="00D52651" w:rsidRDefault="00F8759C" w:rsidP="00F8759C">
      <w:pPr>
        <w:rPr>
          <w:rFonts w:ascii="Times New Roman" w:hAnsi="Times New Roman" w:cs="Times New Roman"/>
          <w:color w:val="000000" w:themeColor="text1"/>
        </w:rPr>
      </w:pP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Эффективность использования данных типов светильников.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ДРЛ.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ДНАТ. Лучшая светоотдача среди газоразрядных ламп - единственное серьёзное преимущество перед ДРЛ. Но очень слабый показатель цветопередачи и большая чувствительность к температуре, ставит 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Светодиоды.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-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3 -х лет. То есть - 3 года (или более) светодиодная лампа окупает себя, а вовсе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последующие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приносит прибыль. При этом всё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время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выдавая самый качественный свет по сравнению с другими технологиями.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возможностей местного бюджета, настоящей Программой выбрана стратегия перехода от ламп ДРЛ и ДНАТ к светодиодным (далее СД) лампам. Затраты на замену 216 ламп ДРЛ и ДНАТ на СД лампы составят 216шт.*2410 руб./шт. = 520 тыс. руб.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 системе уличного освещения СД ламп вместо ДРЛ обеспечивает экономию электроэнергии до 50%, и до 70% при использовании вместо ДНАТ, при заданном уровне освещенности.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среднем, после установки СД светильников, </w:t>
      </w:r>
      <w:proofErr w:type="gramStart"/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экономия 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составит</w:t>
      </w:r>
      <w:proofErr w:type="gramEnd"/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60%.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C37C4" w:rsidRPr="00CC37C4" w:rsidRDefault="00F8759C" w:rsidP="00CC37C4">
      <w:pPr>
        <w:pStyle w:val="a"/>
        <w:ind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CC3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Мероприятия по энергосбережению и повышению энергетической эффективности в системах наружного освещения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1682"/>
        <w:gridCol w:w="1234"/>
        <w:gridCol w:w="655"/>
        <w:gridCol w:w="575"/>
        <w:gridCol w:w="575"/>
        <w:gridCol w:w="575"/>
        <w:gridCol w:w="1604"/>
        <w:gridCol w:w="1894"/>
      </w:tblGrid>
      <w:tr w:rsidR="00F8759C" w:rsidRPr="00D52651" w:rsidTr="008302A2">
        <w:trPr>
          <w:trHeight w:val="23"/>
          <w:tblHeader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№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/п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Срок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выполнения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Объем финансирования, тыс. руб.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Источник финансирования (в установленном порядке)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Исполнители (в установленном порядке)</w:t>
            </w:r>
          </w:p>
        </w:tc>
      </w:tr>
      <w:tr w:rsidR="00F8759C" w:rsidRPr="00D52651" w:rsidTr="008302A2">
        <w:trPr>
          <w:trHeight w:val="23"/>
          <w:tblHeader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2020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Мероприятия по энергосбережению и повышению энергетической эффективности в системах наружного освещения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Комплексная замена светильников с дуговыми ртутными лампами высокого давления и натриевыми трубчатыми лампами на светодиодные светильники (в системах наружного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освещения) - 216 светильников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2018 - 2020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520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Исполнители в порядке,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предусмотренном законом 44-ФЗ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1.2.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Установка приборов учёта электроэнергии в сетях уличного освещения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Исполнители в порядке,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предусмотренном законом 44-ФЗ</w:t>
            </w:r>
          </w:p>
        </w:tc>
      </w:tr>
    </w:tbl>
    <w:p w:rsidR="00F8759C" w:rsidRPr="00D52651" w:rsidRDefault="00F8759C" w:rsidP="00F8759C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F8759C" w:rsidRPr="00CC37C4" w:rsidRDefault="00F8759C" w:rsidP="00CC37C4"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5" w:name="_Toc480139627"/>
      <w:r w:rsidRPr="00D52651">
        <w:rPr>
          <w:rFonts w:ascii="Times New Roman" w:hAnsi="Times New Roman" w:cs="Times New Roman"/>
          <w:color w:val="000000" w:themeColor="text1"/>
        </w:rPr>
        <w:t>Мероприятия по энергосбережению и повышению энергетической эффективности в бюджетной сфере</w:t>
      </w:r>
      <w:bookmarkEnd w:id="5"/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lang w:val="ru-RU"/>
        </w:rPr>
        <w:t>Потребление коммунальных ресурсов бюджетными учреждениями Запорожского сельского поселения приведены в Таблице.</w:t>
      </w:r>
      <w:proofErr w:type="gramEnd"/>
    </w:p>
    <w:p w:rsidR="00F8759C" w:rsidRPr="00D52651" w:rsidRDefault="00F8759C" w:rsidP="00F8759C">
      <w:pPr>
        <w:pStyle w:val="a"/>
        <w:ind w:firstLine="851"/>
        <w:rPr>
          <w:rFonts w:ascii="Times New Roman" w:hAnsi="Times New Roman" w:cs="Times New Roman"/>
          <w:color w:val="000000" w:themeColor="text1"/>
        </w:rPr>
      </w:pPr>
      <w:r w:rsidRPr="00D52651">
        <w:rPr>
          <w:rFonts w:ascii="Times New Roman" w:hAnsi="Times New Roman" w:cs="Times New Roman"/>
          <w:color w:val="000000" w:themeColor="text1"/>
        </w:rPr>
        <w:t>Потребление коммунальных ресурсов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1"/>
        <w:gridCol w:w="2737"/>
        <w:gridCol w:w="2459"/>
        <w:gridCol w:w="1861"/>
      </w:tblGrid>
      <w:tr w:rsidR="00F8759C" w:rsidRPr="00D52651" w:rsidTr="008302A2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Наименования</w:t>
            </w:r>
          </w:p>
        </w:tc>
        <w:tc>
          <w:tcPr>
            <w:tcW w:w="2737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Расход электроэнергии на внутреннее освещение, </w:t>
            </w:r>
            <w:proofErr w:type="spell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тыс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.к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Вт</w:t>
            </w:r>
            <w:proofErr w:type="spell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ч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Средневзвешенный тариф на электрическую энергию по муниципальному образованию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Сумма оплаченных коммунальных услуг, </w:t>
            </w:r>
            <w:proofErr w:type="spell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тыс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.р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уб</w:t>
            </w:r>
            <w:proofErr w:type="spell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.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Запорожское сельское поселение</w:t>
            </w:r>
          </w:p>
        </w:tc>
        <w:tc>
          <w:tcPr>
            <w:tcW w:w="2737" w:type="dxa"/>
            <w:shd w:val="clear" w:color="auto" w:fill="auto"/>
            <w:noWrap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7,60</w:t>
            </w:r>
          </w:p>
        </w:tc>
        <w:tc>
          <w:tcPr>
            <w:tcW w:w="1861" w:type="dxa"/>
            <w:shd w:val="clear" w:color="auto" w:fill="auto"/>
            <w:noWrap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114</w:t>
            </w:r>
          </w:p>
        </w:tc>
      </w:tr>
    </w:tbl>
    <w:p w:rsidR="00F8759C" w:rsidRPr="00D52651" w:rsidRDefault="00F8759C" w:rsidP="00F8759C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Целью данной Муниципальной программы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2017 годом при соблюдении установленных санитарных правил, норм и повышении надежности обеспечения коммунальными услугами.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тепловой защиты зданий, строений, сооружений при капитальном ремонте, утепление зданий, строений, сооружений;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перекладка электрических сетей для снижения потерь электрической энергии в зданиях, строениях, сооружениях;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теплозащиты;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сервисного обслуживания и метрологического обследования систем учета, контроля и управления энергопотребления;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на </w:t>
      </w:r>
      <w:proofErr w:type="gram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энергосберегающие</w:t>
      </w:r>
      <w:proofErr w:type="gram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в разных знаках и указателях (типа «Выход», «Не входить» и т.п.) на </w:t>
      </w:r>
      <w:r w:rsidRPr="00D52651">
        <w:rPr>
          <w:rFonts w:ascii="Times New Roman" w:hAnsi="Times New Roman" w:cs="Times New Roman"/>
          <w:color w:val="000000" w:themeColor="text1"/>
          <w:sz w:val="28"/>
          <w:szCs w:val="28"/>
        </w:rPr>
        <w:t>LED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диоды;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рационализация расположения источников света в помещениях;</w:t>
      </w:r>
    </w:p>
    <w:p w:rsidR="00F8759C" w:rsidRPr="00CC37C4" w:rsidRDefault="00F8759C" w:rsidP="00CC37C4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Далее рассчитаем экономический эффект от повышения энергетической эффективности к 2020 году в бюджетной сфере при установке светодиодных ламп.</w:t>
      </w:r>
    </w:p>
    <w:p w:rsidR="00F8759C" w:rsidRPr="00CC37C4" w:rsidRDefault="00F8759C" w:rsidP="00CC37C4">
      <w:pPr>
        <w:pStyle w:val="a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Ожидаемый экономический эффект от проведения мероприятий Энергосбережения и повышение энергетической эффективности в бюджетной сфере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2113"/>
        <w:gridCol w:w="1353"/>
        <w:gridCol w:w="1185"/>
        <w:gridCol w:w="1015"/>
        <w:gridCol w:w="1887"/>
      </w:tblGrid>
      <w:tr w:rsidR="00F8759C" w:rsidRPr="00D52651" w:rsidTr="008302A2">
        <w:trPr>
          <w:trHeight w:val="23"/>
          <w:jc w:val="center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ресурса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Фактический расход за базовый 2017 год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Динамика снижения ресурсов по годам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Прогнозируемое абсолютное снижение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2019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2020</w:t>
            </w: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Электрическая энергия, </w:t>
            </w:r>
            <w:proofErr w:type="spellStart"/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тыс</w:t>
            </w:r>
            <w:proofErr w:type="gramStart"/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.к</w:t>
            </w:r>
            <w:proofErr w:type="gramEnd"/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Вт.ч</w:t>
            </w:r>
            <w:proofErr w:type="spellEnd"/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</w:tr>
    </w:tbl>
    <w:p w:rsidR="00F8759C" w:rsidRPr="00D52651" w:rsidRDefault="00F8759C" w:rsidP="00CC37C4">
      <w:pPr>
        <w:rPr>
          <w:rFonts w:ascii="Times New Roman" w:hAnsi="Times New Roman" w:cs="Times New Roman"/>
          <w:color w:val="000000" w:themeColor="text1"/>
        </w:rPr>
      </w:pPr>
    </w:p>
    <w:p w:rsidR="00F8759C" w:rsidRPr="00CC37C4" w:rsidRDefault="00F8759C" w:rsidP="00F8759C">
      <w:pPr>
        <w:pStyle w:val="a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886"/>
        <w:gridCol w:w="1171"/>
        <w:gridCol w:w="617"/>
        <w:gridCol w:w="553"/>
        <w:gridCol w:w="553"/>
        <w:gridCol w:w="553"/>
        <w:gridCol w:w="1690"/>
        <w:gridCol w:w="1791"/>
      </w:tblGrid>
      <w:tr w:rsidR="00F8759C" w:rsidRPr="00D52651" w:rsidTr="008302A2">
        <w:trPr>
          <w:trHeight w:val="23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№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/п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Наименование мероприятия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Срок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выполнения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Объем финансирования, тыс. руб.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Источник финансирования (в установленном порядке)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Исполнители (в установленном порядке)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всего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2018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2019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2020</w:t>
            </w: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</w:pPr>
            <w:r w:rsidRPr="00D526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18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1.1.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Введение форм мониторинга потребления ресурсов в учреждениях социальной сферы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2018 - 2020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Администрация МО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1.2.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Создание на официальном сайте муниципального образования раздела, посвящённого энергосбережению и повышению энергетической эффективности в муниципальном образовании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2018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Администрация МО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1.3.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Комплексная замена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светильников в бюджетных учреждениях на светодиодные светильники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2018 - 2020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45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бюджет МО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Исполнители в порядке,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8"/>
              </w:rPr>
              <w:t xml:space="preserve"> 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предусмотренном законом 44-ФЗ</w:t>
            </w:r>
          </w:p>
        </w:tc>
      </w:tr>
    </w:tbl>
    <w:p w:rsidR="00F8759C" w:rsidRPr="00D52651" w:rsidRDefault="00F8759C" w:rsidP="00F8759C">
      <w:pPr>
        <w:ind w:firstLine="851"/>
        <w:rPr>
          <w:rFonts w:ascii="Times New Roman" w:hAnsi="Times New Roman" w:cs="Times New Roman"/>
          <w:color w:val="000000" w:themeColor="text1"/>
        </w:rPr>
      </w:pPr>
    </w:p>
    <w:p w:rsidR="00F8759C" w:rsidRDefault="00F8759C" w:rsidP="00F8759C">
      <w:pPr>
        <w:pStyle w:val="a7"/>
        <w:numPr>
          <w:ilvl w:val="0"/>
          <w:numId w:val="6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Обоснование ресурсного обесп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ечения  муниципальной программы</w:t>
      </w:r>
    </w:p>
    <w:p w:rsidR="00F8759C" w:rsidRPr="00C051BB" w:rsidRDefault="00F8759C" w:rsidP="00F8759C">
      <w:pPr>
        <w:pStyle w:val="a7"/>
        <w:ind w:left="568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Финансовое обеспечение мероприятий Муниципальной программы осуществляется за счёт средств бюджета Запорожского сельского поселения, а также за счет средств организации коммунального комплекса.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 реализации мероприятий могут привлекаться средства краевого и федерального бюджетов в рамках финансирования региональных и федеральных программ по энергосбережению и энергоэффективности и внебюджетные источники.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Общий объем финансирования Муниципальной программы составляет 607 тыс. руб.: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2018 год - 147 тыс. руб.,</w:t>
      </w:r>
    </w:p>
    <w:p w:rsidR="00F8759C" w:rsidRPr="00C051BB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2019 год - 210 тыс. руб.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2020 год - 250  </w:t>
      </w:r>
      <w:proofErr w:type="spellStart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тыс</w:t>
      </w:r>
      <w:proofErr w:type="gramStart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.р</w:t>
      </w:r>
      <w:proofErr w:type="gramEnd"/>
      <w:r w:rsidRPr="00C051B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уб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8759C" w:rsidRPr="00B67515" w:rsidRDefault="00F8759C" w:rsidP="00F8759C">
      <w:pPr>
        <w:pStyle w:val="1"/>
        <w:numPr>
          <w:ilvl w:val="0"/>
          <w:numId w:val="0"/>
        </w:numPr>
        <w:ind w:firstLine="851"/>
        <w:jc w:val="left"/>
        <w:rPr>
          <w:rFonts w:ascii="Times New Roman" w:hAnsi="Times New Roman" w:cs="Times New Roman"/>
          <w:b w:val="0"/>
          <w:color w:val="000000" w:themeColor="text1"/>
        </w:rPr>
      </w:pPr>
      <w:bookmarkStart w:id="6" w:name="_Toc480139629"/>
      <w:r w:rsidRPr="00B67515">
        <w:rPr>
          <w:rFonts w:ascii="Times New Roman" w:hAnsi="Times New Roman" w:cs="Times New Roman"/>
          <w:b w:val="0"/>
          <w:color w:val="000000" w:themeColor="text1"/>
        </w:rPr>
        <w:t xml:space="preserve">Система управления реализацией </w:t>
      </w:r>
      <w:bookmarkEnd w:id="6"/>
      <w:r w:rsidRPr="00B67515">
        <w:rPr>
          <w:rFonts w:ascii="Times New Roman" w:hAnsi="Times New Roman" w:cs="Times New Roman"/>
          <w:b w:val="0"/>
          <w:color w:val="000000" w:themeColor="text1"/>
        </w:rPr>
        <w:t>Муниципальной программы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Текущее управление реализацией Муниципальной программы осуществляет администрация Запорожского сельского поселения (заказчик).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Заказчик контролирует выполнение программных мероприятий, целевое и эффективное использование средств, направляемых на реализацию Муниципальной программы, осуществляет управление ее исполнителями, готовит ежегодные отчеты о реализации Муниципальной программы, ежегодно осуществляет оценку достигнутых целей и эффективности реализации Муниципальной программы.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CC37C4" w:rsidRDefault="00CC37C4" w:rsidP="00CC37C4">
      <w:pPr>
        <w:pStyle w:val="a7"/>
        <w:ind w:firstLine="851"/>
        <w:jc w:val="center"/>
        <w:rPr>
          <w:rStyle w:val="10"/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</w:pPr>
      <w:bookmarkStart w:id="7" w:name="_Toc480139630"/>
    </w:p>
    <w:p w:rsidR="00F8759C" w:rsidRDefault="00F8759C" w:rsidP="00CC37C4">
      <w:pPr>
        <w:pStyle w:val="a7"/>
        <w:ind w:firstLine="851"/>
        <w:jc w:val="center"/>
        <w:rPr>
          <w:rStyle w:val="10"/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Style w:val="10"/>
          <w:rFonts w:ascii="Times New Roman" w:eastAsia="Arial Unicode MS" w:hAnsi="Times New Roman" w:cs="Times New Roman"/>
          <w:color w:val="000000" w:themeColor="text1"/>
          <w:sz w:val="28"/>
          <w:szCs w:val="28"/>
          <w:lang w:val="ru-RU"/>
        </w:rPr>
        <w:t>Система целевых показателей в области энергосбережения и повышения энергетической эффективности</w:t>
      </w:r>
      <w:bookmarkEnd w:id="7"/>
    </w:p>
    <w:p w:rsidR="00CC37C4" w:rsidRPr="00A02464" w:rsidRDefault="00CC37C4" w:rsidP="00CC37C4">
      <w:pPr>
        <w:pStyle w:val="a7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мероприятий по энергосбережению и повышению энергетической эффективности должны быть достигнуты следующие результаты: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сокращение бюджетных расходов на электро- и водоснабжение муниципальных учреждений;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нормальных климатических условий во всех муниципальных зданиях;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заинтересованности в энергосбережении.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программных мероприятий даст дополнительные эффекты в виде: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коммунальных ресурсов;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внедрения в строительство современных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решений на стадии проектирования; применения </w:t>
      </w:r>
      <w:proofErr w:type="spellStart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строительных материалов, технологий и конструкций, системы экспертизы энергосбережения;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8759C" w:rsidRPr="00D52651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Pr="00CC37C4" w:rsidRDefault="00F8759C" w:rsidP="00CC37C4">
      <w:pPr>
        <w:pStyle w:val="a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37C4"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3657"/>
        <w:gridCol w:w="1222"/>
        <w:gridCol w:w="1266"/>
        <w:gridCol w:w="900"/>
        <w:gridCol w:w="901"/>
        <w:gridCol w:w="903"/>
      </w:tblGrid>
      <w:tr w:rsidR="00F8759C" w:rsidRPr="00D52651" w:rsidTr="008302A2">
        <w:trPr>
          <w:trHeight w:val="23"/>
          <w:tblHeader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N 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3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 программы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Базовое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значение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показателя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целевых показателей программы</w:t>
            </w:r>
          </w:p>
        </w:tc>
      </w:tr>
      <w:tr w:rsidR="00F8759C" w:rsidRPr="00D52651" w:rsidTr="008302A2">
        <w:trPr>
          <w:trHeight w:val="23"/>
          <w:tblHeader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установленных СД</w:t>
            </w: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ламп в системе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светильников СД в системе наружного освещения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40%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потребления электроэнергии системой наружного освещения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тыс. кВт*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светильников СД в системе освещения в бюджетной сфере в общем количестве светильников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Объем потребления электроэнергии системой освещения в бюджетных учреждениях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тыс. кВт*</w:t>
            </w:r>
            <w:proofErr w:type="gramStart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F8759C" w:rsidRPr="00D52651" w:rsidTr="008302A2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Доля органов местного самоуправления, муниципальных учреждений, прошедших энергетические обследования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59C" w:rsidRPr="00D52651" w:rsidRDefault="00F8759C" w:rsidP="008302A2">
            <w:pPr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26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F8759C" w:rsidRPr="00D52651" w:rsidRDefault="00F8759C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lang w:val="ru-RU"/>
        </w:rPr>
      </w:pPr>
    </w:p>
    <w:p w:rsidR="00F8759C" w:rsidRPr="00CC37C4" w:rsidRDefault="00F8759C" w:rsidP="00CC37C4">
      <w:pPr>
        <w:pStyle w:val="1"/>
        <w:numPr>
          <w:ilvl w:val="0"/>
          <w:numId w:val="6"/>
        </w:numPr>
        <w:ind w:left="0" w:firstLin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8" w:name="_Toc480139632"/>
      <w:r w:rsidRPr="00CC37C4">
        <w:rPr>
          <w:rStyle w:val="10"/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оценки эффективности реализации </w:t>
      </w:r>
      <w:bookmarkEnd w:id="8"/>
      <w:r w:rsidRPr="00CC37C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 программы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ежегодно на основе использования целевого индикатора, который обеспечит мониторинг динамики результатов реализации Муниципальной программы за оцениваемый период с целью уточнения степени решения задач и выполнения мероприятий Муниципальной программы.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путем сравнения фактически достигнутого показателя за соответствующий год с его прогнозным значением, утвержденным Муниципальной программой.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Критерии оценки эффективности реализации Муниципальной программы: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нуждается в корректировке и доработке, если эффективность реализации Муниципальной программы составляет 60-80 процентов;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A0246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считается неэффективной, если мероприятия Муниципальной программы выполнены с эффективностью менее 60 процентов.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Pr="00CC37C4" w:rsidRDefault="00F8759C" w:rsidP="00CC37C4">
      <w:pPr>
        <w:pStyle w:val="1"/>
        <w:numPr>
          <w:ilvl w:val="0"/>
          <w:numId w:val="6"/>
        </w:numPr>
        <w:ind w:left="0" w:firstLine="0"/>
        <w:rPr>
          <w:rFonts w:ascii="Times New Roman" w:hAnsi="Times New Roman" w:cs="Times New Roman"/>
          <w:color w:val="000000" w:themeColor="text1"/>
        </w:rPr>
      </w:pPr>
      <w:bookmarkStart w:id="9" w:name="_Toc480139631"/>
      <w:r w:rsidRPr="00712320">
        <w:rPr>
          <w:rFonts w:ascii="Times New Roman" w:hAnsi="Times New Roman" w:cs="Times New Roman"/>
          <w:color w:val="000000" w:themeColor="text1"/>
        </w:rPr>
        <w:lastRenderedPageBreak/>
        <w:t>Механизм реализации</w:t>
      </w:r>
      <w:r>
        <w:rPr>
          <w:rFonts w:ascii="Times New Roman" w:hAnsi="Times New Roman" w:cs="Times New Roman"/>
          <w:color w:val="000000" w:themeColor="text1"/>
        </w:rPr>
        <w:t xml:space="preserve"> муниципальной программы </w:t>
      </w:r>
      <w:r w:rsidRPr="00712320">
        <w:rPr>
          <w:rFonts w:ascii="Times New Roman" w:hAnsi="Times New Roman" w:cs="Times New Roman"/>
          <w:color w:val="000000" w:themeColor="text1"/>
        </w:rPr>
        <w:t xml:space="preserve"> и </w:t>
      </w:r>
      <w:proofErr w:type="gramStart"/>
      <w:r w:rsidRPr="00712320"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 w:rsidRPr="00712320">
        <w:rPr>
          <w:rFonts w:ascii="Times New Roman" w:hAnsi="Times New Roman" w:cs="Times New Roman"/>
          <w:color w:val="000000" w:themeColor="text1"/>
        </w:rPr>
        <w:t xml:space="preserve"> ее  </w:t>
      </w:r>
      <w:bookmarkEnd w:id="9"/>
      <w:r>
        <w:rPr>
          <w:rFonts w:ascii="Times New Roman" w:hAnsi="Times New Roman" w:cs="Times New Roman"/>
          <w:color w:val="000000" w:themeColor="text1"/>
        </w:rPr>
        <w:t>выполнением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Реализация Муниципальной программы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обеспечивается за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 xml:space="preserve"> счет проведения программных мероприятий на следующих уровнях: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бюджетные учреждения, муниципальные предприятия, организации коммунального комплекса;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органы местного самоуправления.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Муниципальный заказчик Муниципальной программы организует размещение информации о ходе реализации и результатах программных мероприятий на официальном сайте в сети Интернет.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Обязанности по выполнению энергосберегающих мероприятий, учету, </w:t>
      </w: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контролю за</w:t>
      </w:r>
      <w:proofErr w:type="gramEnd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Муниципальной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отраслевых показателей энергоэффективности, а также несёт ответственность за достижение утвержденных показателей и индикаторов, позволяющих оценить ход реализации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м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В отношении муниципальных бюджетных учреждений, муниципальных предприятий, а также органов местного самоуправления, управление Муниципальной программой осуществляется в основном административными методами в сочетании с использованием экономических стимулов и мер морального поощрения персонала.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Финансирование программных мероприятий осуществляется 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 xml:space="preserve">Порядок финансирования программных мероприятий устанавливает глава администрации Запорожского сельского поселения. Отбор исполнителей для выполнения работ по реализации программных мероприятий производится муниципальными заказчиками </w:t>
      </w:r>
      <w:r>
        <w:rPr>
          <w:rFonts w:ascii="Times New Roman" w:hAnsi="Times New Roman" w:cs="Times New Roman"/>
          <w:color w:val="000000" w:themeColor="text1"/>
          <w:sz w:val="28"/>
          <w:lang w:val="ru-RU"/>
        </w:rPr>
        <w:t>м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униципальной программы в установленном для размещения муниципальных заказов порядке.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Муниципальный заказчик Муниципальной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Сроки и форму учета мероприятий и </w:t>
      </w: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контроля за</w:t>
      </w:r>
      <w:proofErr w:type="gramEnd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выполнением утвержденных показателей и индикаторов, позволяющих оценить ход реализации Муниципальной программы  в коммерческом секторе экономики, муниципальных и некоммерческих организациях отрасли, устанавливает координатор Муниципальной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Муниципальной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Муниципальный заказчик Муниципальной программы в сроки, установленные главой администрации Запорожского сельского поселения, подготавливает: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информацию о реализации программных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ежегодные доклады о ходе реализации программных мероприятий и эффективности использования финансовых средств.</w:t>
      </w:r>
    </w:p>
    <w:p w:rsidR="00F8759C" w:rsidRPr="00A02464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A02464">
        <w:rPr>
          <w:rFonts w:ascii="Times New Roman" w:hAnsi="Times New Roman" w:cs="Times New Roman"/>
          <w:color w:val="000000" w:themeColor="text1"/>
          <w:sz w:val="28"/>
          <w:lang w:val="ru-RU"/>
        </w:rPr>
        <w:t>Ежегодные доклады должны содержать: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сведения о результатах реализации программных мероприятий в отрасли за отчетный год;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данные о целевом использовании и объемах средств, привлеченных из бюджетов всех уровней и внебюджетных источников;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сведения о соответствии фактических показателей реализации Муниципальной программы утвержденным показателям;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информацию о ходе и полноте выполнения программных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сведения о наличии, объемах и состоянии незавершенных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оценку эффективности результатов реализации Муниципальной программы;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Основные положения докладов размещаются в сети Интернет.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Администрация Запорожского сельского поселения ежеквартально на своих заседаниях рассматривает вопрос о состоянии энергосбережения в муниципальном образовании.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D52651">
        <w:rPr>
          <w:rFonts w:ascii="Times New Roman" w:hAnsi="Times New Roman" w:cs="Times New Roman"/>
          <w:color w:val="000000" w:themeColor="text1"/>
          <w:sz w:val="28"/>
          <w:lang w:val="ru-RU"/>
        </w:rPr>
        <w:t>С учетом положений муниципальной программы администрация Запорожского сельского поселения: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обеспечивает реализацию программных мероприятий и координирует работы по Муниципальной программы;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осуществляет мониторинг хода реализации Муниципальной программы, в том числе сбор и анализ статистической и иной информации об эффективности использования энергетических ресурсов, организации независимой оценки показателей результативности и эффективности программных мероприятий, их соответствии целевым индикаторам и показателям;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составляет сводную заявку на финансирование программных мероприятий из местного бюджета;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контролирует выполнение в установленные сроки программных мероприятий, эффективность и целевое использование выделенных на реализацию Муниципальной программы бюджетных средств;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готовит предложения по корректировке Муниципальной программы и в установленном порядке представляет их на утверждение главе Администрации Запорожского сельского поселения;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готовит и (или) согласовывает проекты нормативных правовых актов по вопросам энергосбережения;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 xml:space="preserve">публикует в средствах массовой информации не реже двух раз в 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lastRenderedPageBreak/>
        <w:t>год с одновременным размещением в сети Интернет основных сведений о результатах реализации Муниципальной программы, состоянии целевых показателей и индикаторов, объеме финансовых ресурсов, затраченных на выполнение Муниципальной программы, а также о результатах мониторинга реализации программных мероприятий;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•</w:t>
      </w: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ab/>
        <w:t>выполняет иные функции по управлению программными мероприятиями в соответствии с действующим законодательством и Муниципальной программы.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Глава Администрации Запорожского сельского поселения ежегодно, до 01 июня года, следующего за отчетным, на основании представленного заместителем главы Администрации доклада рассматривает итоги выполнения Муниципальной программы за прошедший год.</w:t>
      </w:r>
      <w:proofErr w:type="gramEnd"/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ресурсов, проведение эффективной тарифной, налоговой, бюджетной и кредитной политики.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Предусмотренные Муниципальной программой финансово-</w:t>
      </w:r>
      <w:proofErr w:type="gramStart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экономические механизмы</w:t>
      </w:r>
      <w:proofErr w:type="gramEnd"/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 xml:space="preserve"> и механизмы стимулирования распространяются на лиц, являющихся исполнителями программных мероприятий.</w:t>
      </w:r>
    </w:p>
    <w:p w:rsidR="00F8759C" w:rsidRPr="00712320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F8759C" w:rsidRPr="00D52651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lang w:val="ru-RU"/>
        </w:rPr>
      </w:pPr>
      <w:r w:rsidRPr="00712320">
        <w:rPr>
          <w:rFonts w:ascii="Times New Roman" w:hAnsi="Times New Roman" w:cs="Times New Roman"/>
          <w:color w:val="000000" w:themeColor="text1"/>
          <w:sz w:val="28"/>
          <w:lang w:val="ru-RU"/>
        </w:rPr>
        <w:t>Объем и структура бюджетного финансирования Муниципальной программы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F8759C" w:rsidRDefault="00F8759C" w:rsidP="00F8759C">
      <w:pPr>
        <w:pStyle w:val="a7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Default="00F8759C" w:rsidP="00CC37C4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8759C" w:rsidRPr="00B67515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Исполняющий</w:t>
      </w:r>
      <w:proofErr w:type="gramEnd"/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обязан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</w:t>
      </w: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ости главы</w:t>
      </w:r>
    </w:p>
    <w:p w:rsidR="00F8759C" w:rsidRPr="00B67515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сельского поселения </w:t>
      </w:r>
    </w:p>
    <w:p w:rsidR="00F8759C" w:rsidRPr="00B67515" w:rsidRDefault="00F8759C" w:rsidP="00F8759C">
      <w:pPr>
        <w:pStyle w:val="a7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F8759C" w:rsidRPr="00B67515" w:rsidSect="00CC37C4">
          <w:headerReference w:type="first" r:id="rId8"/>
          <w:pgSz w:w="11900" w:h="16840"/>
          <w:pgMar w:top="993" w:right="851" w:bottom="426" w:left="1701" w:header="680" w:footer="680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Темрюкского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B6751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bookmarkStart w:id="10" w:name="_GoBack"/>
      <w:bookmarkEnd w:id="10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Н.А.Сем</w:t>
      </w:r>
      <w:r w:rsidR="00CC37C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нов</w:t>
      </w:r>
    </w:p>
    <w:p w:rsidR="00F8759C" w:rsidRDefault="00F8759C"/>
    <w:sectPr w:rsidR="00F8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AD" w:rsidRDefault="00741FAD">
      <w:pPr>
        <w:spacing w:after="0" w:line="240" w:lineRule="auto"/>
      </w:pPr>
      <w:r>
        <w:separator/>
      </w:r>
    </w:p>
  </w:endnote>
  <w:endnote w:type="continuationSeparator" w:id="0">
    <w:p w:rsidR="00741FAD" w:rsidRDefault="0074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AD" w:rsidRDefault="00741FAD">
      <w:pPr>
        <w:spacing w:after="0" w:line="240" w:lineRule="auto"/>
      </w:pPr>
      <w:r>
        <w:separator/>
      </w:r>
    </w:p>
  </w:footnote>
  <w:footnote w:type="continuationSeparator" w:id="0">
    <w:p w:rsidR="00741FAD" w:rsidRDefault="00741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64" w:rsidRPr="006365D6" w:rsidRDefault="00741FAD" w:rsidP="006365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4527"/>
    <w:multiLevelType w:val="multilevel"/>
    <w:tmpl w:val="56883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9A29ED"/>
    <w:multiLevelType w:val="multilevel"/>
    <w:tmpl w:val="4EFA6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5A7618"/>
    <w:multiLevelType w:val="multilevel"/>
    <w:tmpl w:val="FCCCCA40"/>
    <w:lvl w:ilvl="0">
      <w:start w:val="1"/>
      <w:numFmt w:val="decimal"/>
      <w:pStyle w:val="1"/>
      <w:suff w:val="space"/>
      <w:lvlText w:val="%1"/>
      <w:lvlJc w:val="center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pStyle w:val="2"/>
      <w:suff w:val="space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0F11A1C"/>
    <w:multiLevelType w:val="multilevel"/>
    <w:tmpl w:val="3032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C3591C"/>
    <w:multiLevelType w:val="hybridMultilevel"/>
    <w:tmpl w:val="D0C6E4C2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F4D8D"/>
    <w:multiLevelType w:val="hybridMultilevel"/>
    <w:tmpl w:val="5F6AD8E4"/>
    <w:lvl w:ilvl="0" w:tplc="26AE6672">
      <w:start w:val="1"/>
      <w:numFmt w:val="decimal"/>
      <w:pStyle w:val="a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9C"/>
    <w:rsid w:val="00741FAD"/>
    <w:rsid w:val="00B91469"/>
    <w:rsid w:val="00CC37C4"/>
    <w:rsid w:val="00F8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аг 1"/>
    <w:basedOn w:val="a0"/>
    <w:next w:val="a0"/>
    <w:link w:val="10"/>
    <w:uiPriority w:val="9"/>
    <w:qFormat/>
    <w:rsid w:val="00F8759C"/>
    <w:pPr>
      <w:widowControl w:val="0"/>
      <w:numPr>
        <w:numId w:val="4"/>
      </w:numPr>
      <w:tabs>
        <w:tab w:val="left" w:pos="993"/>
        <w:tab w:val="left" w:pos="1134"/>
        <w:tab w:val="left" w:pos="1416"/>
      </w:tabs>
      <w:suppressAutoHyphens/>
      <w:spacing w:before="120" w:after="120"/>
      <w:jc w:val="center"/>
      <w:outlineLvl w:val="0"/>
    </w:pPr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F8759C"/>
    <w:pPr>
      <w:keepNext/>
      <w:keepLines/>
      <w:widowControl w:val="0"/>
      <w:numPr>
        <w:ilvl w:val="1"/>
        <w:numId w:val="4"/>
      </w:numPr>
      <w:suppressAutoHyphens/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 w:val="26"/>
      <w:szCs w:val="26"/>
      <w:lang w:eastAsia="ru-RU" w:bidi="ru-RU"/>
    </w:rPr>
  </w:style>
  <w:style w:type="paragraph" w:styleId="3">
    <w:name w:val="heading 3"/>
    <w:aliases w:val="Заг 3"/>
    <w:basedOn w:val="a0"/>
    <w:next w:val="a0"/>
    <w:link w:val="30"/>
    <w:uiPriority w:val="9"/>
    <w:unhideWhenUsed/>
    <w:qFormat/>
    <w:rsid w:val="00F8759C"/>
    <w:pPr>
      <w:keepNext/>
      <w:keepLines/>
      <w:widowControl w:val="0"/>
      <w:numPr>
        <w:ilvl w:val="2"/>
        <w:numId w:val="4"/>
      </w:numPr>
      <w:spacing w:before="120" w:after="120" w:line="240" w:lineRule="auto"/>
      <w:jc w:val="center"/>
      <w:outlineLvl w:val="2"/>
    </w:pPr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 1 Знак"/>
    <w:basedOn w:val="a1"/>
    <w:link w:val="1"/>
    <w:uiPriority w:val="9"/>
    <w:rsid w:val="00F8759C"/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F8759C"/>
    <w:rPr>
      <w:rFonts w:ascii="Arial" w:eastAsiaTheme="majorEastAsia" w:hAnsi="Arial" w:cstheme="majorBidi"/>
      <w:b/>
      <w:sz w:val="26"/>
      <w:szCs w:val="26"/>
      <w:lang w:eastAsia="ru-RU" w:bidi="ru-RU"/>
    </w:rPr>
  </w:style>
  <w:style w:type="character" w:customStyle="1" w:styleId="30">
    <w:name w:val="Заголовок 3 Знак"/>
    <w:aliases w:val="Заг 3 Знак"/>
    <w:basedOn w:val="a1"/>
    <w:link w:val="3"/>
    <w:uiPriority w:val="9"/>
    <w:rsid w:val="00F8759C"/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customStyle="1" w:styleId="21">
    <w:name w:val="Основной текст (2)_"/>
    <w:basedOn w:val="a1"/>
    <w:link w:val="22"/>
    <w:rsid w:val="00F875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F8759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F8759C"/>
    <w:pPr>
      <w:widowControl w:val="0"/>
      <w:shd w:val="clear" w:color="auto" w:fill="FFFFFF"/>
      <w:spacing w:before="5440" w:after="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F8759C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1"/>
    <w:link w:val="a4"/>
    <w:uiPriority w:val="99"/>
    <w:rsid w:val="00F8759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">
    <w:name w:val="Title"/>
    <w:aliases w:val="Назв табл"/>
    <w:basedOn w:val="a0"/>
    <w:next w:val="a0"/>
    <w:link w:val="a6"/>
    <w:uiPriority w:val="10"/>
    <w:qFormat/>
    <w:rsid w:val="00F8759C"/>
    <w:pPr>
      <w:widowControl w:val="0"/>
      <w:numPr>
        <w:numId w:val="5"/>
      </w:numPr>
      <w:spacing w:before="120" w:after="0" w:line="240" w:lineRule="auto"/>
      <w:ind w:left="0" w:firstLine="0"/>
      <w:contextualSpacing/>
      <w:jc w:val="center"/>
    </w:pPr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character" w:customStyle="1" w:styleId="a6">
    <w:name w:val="Название Знак"/>
    <w:aliases w:val="Назв табл Знак"/>
    <w:basedOn w:val="a1"/>
    <w:link w:val="a"/>
    <w:uiPriority w:val="10"/>
    <w:rsid w:val="00F8759C"/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paragraph" w:styleId="a7">
    <w:name w:val="No Spacing"/>
    <w:aliases w:val="Обыч текс"/>
    <w:qFormat/>
    <w:rsid w:val="00F8759C"/>
    <w:pPr>
      <w:widowControl w:val="0"/>
      <w:suppressAutoHyphens/>
      <w:spacing w:after="0"/>
      <w:ind w:firstLine="567"/>
      <w:jc w:val="both"/>
    </w:pPr>
    <w:rPr>
      <w:rFonts w:ascii="Arial" w:eastAsia="Arial Unicode MS" w:hAnsi="Arial" w:cs="Tahoma"/>
      <w:color w:val="984806" w:themeColor="accent6" w:themeShade="80"/>
      <w:sz w:val="24"/>
      <w:szCs w:val="24"/>
      <w:lang w:val="en-US" w:bidi="en-US"/>
    </w:rPr>
  </w:style>
  <w:style w:type="character" w:customStyle="1" w:styleId="2105pt">
    <w:name w:val="Основной текст (2) + 10;5 pt;Полужирный"/>
    <w:basedOn w:val="21"/>
    <w:rsid w:val="00F87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Заг 1"/>
    <w:basedOn w:val="a0"/>
    <w:next w:val="a0"/>
    <w:link w:val="10"/>
    <w:uiPriority w:val="9"/>
    <w:qFormat/>
    <w:rsid w:val="00F8759C"/>
    <w:pPr>
      <w:widowControl w:val="0"/>
      <w:numPr>
        <w:numId w:val="4"/>
      </w:numPr>
      <w:tabs>
        <w:tab w:val="left" w:pos="993"/>
        <w:tab w:val="left" w:pos="1134"/>
        <w:tab w:val="left" w:pos="1416"/>
      </w:tabs>
      <w:suppressAutoHyphens/>
      <w:spacing w:before="120" w:after="120"/>
      <w:jc w:val="center"/>
      <w:outlineLvl w:val="0"/>
    </w:pPr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paragraph" w:styleId="2">
    <w:name w:val="heading 2"/>
    <w:aliases w:val="Заг 2"/>
    <w:basedOn w:val="a0"/>
    <w:next w:val="a0"/>
    <w:link w:val="20"/>
    <w:uiPriority w:val="9"/>
    <w:unhideWhenUsed/>
    <w:qFormat/>
    <w:rsid w:val="00F8759C"/>
    <w:pPr>
      <w:keepNext/>
      <w:keepLines/>
      <w:widowControl w:val="0"/>
      <w:numPr>
        <w:ilvl w:val="1"/>
        <w:numId w:val="4"/>
      </w:numPr>
      <w:suppressAutoHyphens/>
      <w:spacing w:before="120" w:after="120" w:line="240" w:lineRule="auto"/>
      <w:jc w:val="center"/>
      <w:outlineLvl w:val="1"/>
    </w:pPr>
    <w:rPr>
      <w:rFonts w:ascii="Arial" w:eastAsiaTheme="majorEastAsia" w:hAnsi="Arial" w:cstheme="majorBidi"/>
      <w:b/>
      <w:sz w:val="26"/>
      <w:szCs w:val="26"/>
      <w:lang w:eastAsia="ru-RU" w:bidi="ru-RU"/>
    </w:rPr>
  </w:style>
  <w:style w:type="paragraph" w:styleId="3">
    <w:name w:val="heading 3"/>
    <w:aliases w:val="Заг 3"/>
    <w:basedOn w:val="a0"/>
    <w:next w:val="a0"/>
    <w:link w:val="30"/>
    <w:uiPriority w:val="9"/>
    <w:unhideWhenUsed/>
    <w:qFormat/>
    <w:rsid w:val="00F8759C"/>
    <w:pPr>
      <w:keepNext/>
      <w:keepLines/>
      <w:widowControl w:val="0"/>
      <w:numPr>
        <w:ilvl w:val="2"/>
        <w:numId w:val="4"/>
      </w:numPr>
      <w:spacing w:before="120" w:after="120" w:line="240" w:lineRule="auto"/>
      <w:jc w:val="center"/>
      <w:outlineLvl w:val="2"/>
    </w:pPr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аг 1 Знак"/>
    <w:basedOn w:val="a1"/>
    <w:link w:val="1"/>
    <w:uiPriority w:val="9"/>
    <w:rsid w:val="00F8759C"/>
    <w:rPr>
      <w:rFonts w:ascii="Arial" w:eastAsia="Times New Roman" w:hAnsi="Arial" w:cs="Arial"/>
      <w:b/>
      <w:caps/>
      <w:sz w:val="26"/>
      <w:szCs w:val="24"/>
      <w:lang w:eastAsia="ru-RU" w:bidi="ru-RU"/>
    </w:rPr>
  </w:style>
  <w:style w:type="character" w:customStyle="1" w:styleId="20">
    <w:name w:val="Заголовок 2 Знак"/>
    <w:aliases w:val="Заг 2 Знак"/>
    <w:basedOn w:val="a1"/>
    <w:link w:val="2"/>
    <w:uiPriority w:val="9"/>
    <w:rsid w:val="00F8759C"/>
    <w:rPr>
      <w:rFonts w:ascii="Arial" w:eastAsiaTheme="majorEastAsia" w:hAnsi="Arial" w:cstheme="majorBidi"/>
      <w:b/>
      <w:sz w:val="26"/>
      <w:szCs w:val="26"/>
      <w:lang w:eastAsia="ru-RU" w:bidi="ru-RU"/>
    </w:rPr>
  </w:style>
  <w:style w:type="character" w:customStyle="1" w:styleId="30">
    <w:name w:val="Заголовок 3 Знак"/>
    <w:aliases w:val="Заг 3 Знак"/>
    <w:basedOn w:val="a1"/>
    <w:link w:val="3"/>
    <w:uiPriority w:val="9"/>
    <w:rsid w:val="00F8759C"/>
    <w:rPr>
      <w:rFonts w:ascii="Arial" w:eastAsiaTheme="majorEastAsia" w:hAnsi="Arial" w:cstheme="majorBidi"/>
      <w:b/>
      <w:color w:val="243F60" w:themeColor="accent1" w:themeShade="7F"/>
      <w:sz w:val="24"/>
      <w:szCs w:val="24"/>
      <w:lang w:eastAsia="ru-RU" w:bidi="ru-RU"/>
    </w:rPr>
  </w:style>
  <w:style w:type="character" w:customStyle="1" w:styleId="21">
    <w:name w:val="Основной текст (2)_"/>
    <w:basedOn w:val="a1"/>
    <w:link w:val="22"/>
    <w:rsid w:val="00F875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F8759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F8759C"/>
    <w:pPr>
      <w:widowControl w:val="0"/>
      <w:shd w:val="clear" w:color="auto" w:fill="FFFFFF"/>
      <w:spacing w:before="5440" w:after="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F8759C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5">
    <w:name w:val="Верхний колонтитул Знак"/>
    <w:basedOn w:val="a1"/>
    <w:link w:val="a4"/>
    <w:uiPriority w:val="99"/>
    <w:rsid w:val="00F8759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">
    <w:name w:val="Title"/>
    <w:aliases w:val="Назв табл"/>
    <w:basedOn w:val="a0"/>
    <w:next w:val="a0"/>
    <w:link w:val="a6"/>
    <w:uiPriority w:val="10"/>
    <w:qFormat/>
    <w:rsid w:val="00F8759C"/>
    <w:pPr>
      <w:widowControl w:val="0"/>
      <w:numPr>
        <w:numId w:val="5"/>
      </w:numPr>
      <w:spacing w:before="120" w:after="0" w:line="240" w:lineRule="auto"/>
      <w:ind w:left="0" w:firstLine="0"/>
      <w:contextualSpacing/>
      <w:jc w:val="center"/>
    </w:pPr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character" w:customStyle="1" w:styleId="a6">
    <w:name w:val="Название Знак"/>
    <w:aliases w:val="Назв табл Знак"/>
    <w:basedOn w:val="a1"/>
    <w:link w:val="a"/>
    <w:uiPriority w:val="10"/>
    <w:rsid w:val="00F8759C"/>
    <w:rPr>
      <w:rFonts w:ascii="Arial" w:eastAsiaTheme="majorEastAsia" w:hAnsi="Arial" w:cstheme="majorBidi"/>
      <w:b/>
      <w:color w:val="244061" w:themeColor="accent1" w:themeShade="80"/>
      <w:spacing w:val="-10"/>
      <w:kern w:val="28"/>
      <w:szCs w:val="56"/>
      <w:lang w:eastAsia="ru-RU" w:bidi="ru-RU"/>
    </w:rPr>
  </w:style>
  <w:style w:type="paragraph" w:styleId="a7">
    <w:name w:val="No Spacing"/>
    <w:aliases w:val="Обыч текс"/>
    <w:qFormat/>
    <w:rsid w:val="00F8759C"/>
    <w:pPr>
      <w:widowControl w:val="0"/>
      <w:suppressAutoHyphens/>
      <w:spacing w:after="0"/>
      <w:ind w:firstLine="567"/>
      <w:jc w:val="both"/>
    </w:pPr>
    <w:rPr>
      <w:rFonts w:ascii="Arial" w:eastAsia="Arial Unicode MS" w:hAnsi="Arial" w:cs="Tahoma"/>
      <w:color w:val="984806" w:themeColor="accent6" w:themeShade="80"/>
      <w:sz w:val="24"/>
      <w:szCs w:val="24"/>
      <w:lang w:val="en-US" w:bidi="en-US"/>
    </w:rPr>
  </w:style>
  <w:style w:type="character" w:customStyle="1" w:styleId="2105pt">
    <w:name w:val="Основной текст (2) + 10;5 pt;Полужирный"/>
    <w:basedOn w:val="21"/>
    <w:rsid w:val="00F87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5235</Words>
  <Characters>29842</Characters>
  <Application>Microsoft Office Word</Application>
  <DocSecurity>0</DocSecurity>
  <Lines>248</Lines>
  <Paragraphs>70</Paragraphs>
  <ScaleCrop>false</ScaleCrop>
  <Company>SPecialiST RePack</Company>
  <LinksUpToDate>false</LinksUpToDate>
  <CharactersWithSpaces>35007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2017-11-27T12:11:00Z</dcterms:created>
  <dcterms:modified xsi:type="dcterms:W3CDTF">2017-11-27T12:41:00Z</dcterms:modified>
</cp:coreProperties>
</file>