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D81477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D81477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2018 года № </w:t>
      </w:r>
      <w:r w:rsidR="00D81477">
        <w:rPr>
          <w:rFonts w:ascii="Times New Roman" w:hAnsi="Times New Roman" w:cs="Times New Roman"/>
          <w:sz w:val="28"/>
          <w:szCs w:val="28"/>
        </w:rPr>
        <w:t>273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CD74E8">
        <w:rPr>
          <w:rFonts w:ascii="Times New Roman" w:hAnsi="Times New Roman" w:cs="Times New Roman"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CD74E8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  <w:p w:rsidR="00CD74E8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r w:rsidR="00CD74E8">
              <w:rPr>
                <w:rFonts w:ascii="Times New Roman" w:hAnsi="Times New Roman"/>
                <w:sz w:val="28"/>
                <w:szCs w:val="28"/>
              </w:rPr>
              <w:t>И.В.Рыбина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C0EF4"/>
    <w:rsid w:val="000F4938"/>
    <w:rsid w:val="001260A2"/>
    <w:rsid w:val="001618B7"/>
    <w:rsid w:val="003358E6"/>
    <w:rsid w:val="003F1103"/>
    <w:rsid w:val="00452185"/>
    <w:rsid w:val="004E5485"/>
    <w:rsid w:val="005615D3"/>
    <w:rsid w:val="00697FA1"/>
    <w:rsid w:val="006C24D5"/>
    <w:rsid w:val="0089144F"/>
    <w:rsid w:val="008F79B5"/>
    <w:rsid w:val="009C5B77"/>
    <w:rsid w:val="00AF60DA"/>
    <w:rsid w:val="00CD74E8"/>
    <w:rsid w:val="00D81477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12</cp:revision>
  <cp:lastPrinted>2018-07-04T08:32:00Z</cp:lastPrinted>
  <dcterms:created xsi:type="dcterms:W3CDTF">2018-03-28T09:48:00Z</dcterms:created>
  <dcterms:modified xsi:type="dcterms:W3CDTF">2019-04-03T07:26:00Z</dcterms:modified>
</cp:coreProperties>
</file>